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2E69BA" w:rsidRPr="00270549" w:rsidP="002E69BA" w14:paraId="01A99D8B" w14:textId="77777777">
      <w:pPr>
        <w:rPr>
          <w:rFonts w:ascii="Times New Roman" w:hAnsi="Times New Roman" w:cs="Times New Roman"/>
          <w:b/>
          <w:bCs/>
        </w:rPr>
      </w:pPr>
    </w:p>
    <w:p w:rsidR="002E69BA" w:rsidRPr="00270549" w:rsidP="002E69BA" w14:paraId="1AEF8D17" w14:textId="77777777">
      <w:pPr>
        <w:rPr>
          <w:rFonts w:ascii="Times New Roman" w:hAnsi="Times New Roman" w:cs="Times New Roman"/>
          <w:b/>
          <w:bCs/>
        </w:rPr>
      </w:pPr>
    </w:p>
    <w:p w:rsidR="002E69BA" w:rsidRPr="00270549" w:rsidP="002E69BA" w14:paraId="0A469C97" w14:textId="77777777">
      <w:pPr>
        <w:rPr>
          <w:rFonts w:ascii="Times New Roman" w:hAnsi="Times New Roman" w:cs="Times New Roman"/>
          <w:b/>
          <w:bCs/>
        </w:rPr>
      </w:pPr>
    </w:p>
    <w:p w:rsidR="002E69BA" w:rsidRPr="00270549" w:rsidP="002E69BA" w14:paraId="71994273" w14:textId="73046293">
      <w:pPr>
        <w:jc w:val="center"/>
        <w:rPr>
          <w:rFonts w:ascii="Times New Roman" w:hAnsi="Times New Roman" w:cs="Times New Roman"/>
          <w:b/>
          <w:bCs/>
        </w:rPr>
      </w:pPr>
      <w:r w:rsidRPr="00270549">
        <w:rPr>
          <w:rFonts w:ascii="Times New Roman" w:hAnsi="Times New Roman" w:cs="Times New Roman"/>
          <w:b/>
          <w:bCs/>
        </w:rPr>
        <w:t>ASSESSMENT 2: Data Infographic and Forecasting</w:t>
      </w:r>
    </w:p>
    <w:p w:rsidR="002E69BA" w:rsidRPr="00270549" w:rsidP="002E69BA" w14:paraId="5E159521" w14:textId="77777777">
      <w:pPr>
        <w:jc w:val="center"/>
        <w:rPr>
          <w:rFonts w:ascii="Times New Roman" w:hAnsi="Times New Roman" w:cs="Times New Roman"/>
          <w:b/>
          <w:bCs/>
        </w:rPr>
      </w:pPr>
    </w:p>
    <w:p w:rsidR="002E69BA" w:rsidRPr="00270549" w:rsidP="002E69BA" w14:paraId="779EDDC1" w14:textId="77777777">
      <w:pPr>
        <w:jc w:val="center"/>
        <w:rPr>
          <w:rFonts w:ascii="Times New Roman" w:hAnsi="Times New Roman" w:cs="Times New Roman"/>
          <w:shd w:val="clear" w:color="auto" w:fill="FFFFFF"/>
        </w:rPr>
      </w:pPr>
      <w:r w:rsidRPr="00270549">
        <w:rPr>
          <w:rFonts w:ascii="Times New Roman" w:hAnsi="Times New Roman" w:cs="Times New Roman"/>
        </w:rPr>
        <w:t>Student</w:t>
      </w:r>
    </w:p>
    <w:p w:rsidR="002E69BA" w:rsidRPr="00270549" w:rsidP="002E69BA" w14:paraId="24AE2AAE" w14:textId="77777777">
      <w:pPr>
        <w:jc w:val="center"/>
        <w:rPr>
          <w:rFonts w:ascii="Times New Roman" w:hAnsi="Times New Roman" w:cs="Times New Roman"/>
        </w:rPr>
      </w:pPr>
      <w:r w:rsidRPr="00270549">
        <w:rPr>
          <w:rFonts w:ascii="Times New Roman" w:hAnsi="Times New Roman" w:cs="Times New Roman"/>
        </w:rPr>
        <w:t>Institution</w:t>
      </w:r>
    </w:p>
    <w:p w:rsidR="002E69BA" w:rsidRPr="00270549" w:rsidP="002E69BA" w14:paraId="48A80889" w14:textId="77777777">
      <w:pPr>
        <w:jc w:val="center"/>
        <w:rPr>
          <w:rFonts w:ascii="Times New Roman" w:hAnsi="Times New Roman" w:cs="Times New Roman"/>
        </w:rPr>
      </w:pPr>
      <w:r w:rsidRPr="00270549">
        <w:rPr>
          <w:rFonts w:ascii="Times New Roman" w:hAnsi="Times New Roman" w:cs="Times New Roman"/>
        </w:rPr>
        <w:t>Course</w:t>
      </w:r>
    </w:p>
    <w:p w:rsidR="002E69BA" w:rsidRPr="00270549" w:rsidP="002E69BA" w14:paraId="715C59DE" w14:textId="77777777">
      <w:pPr>
        <w:jc w:val="center"/>
        <w:rPr>
          <w:rFonts w:ascii="Times New Roman" w:hAnsi="Times New Roman" w:cs="Times New Roman"/>
        </w:rPr>
      </w:pPr>
      <w:r w:rsidRPr="00270549">
        <w:rPr>
          <w:rFonts w:ascii="Times New Roman" w:hAnsi="Times New Roman" w:cs="Times New Roman"/>
        </w:rPr>
        <w:t>Instructor</w:t>
      </w:r>
    </w:p>
    <w:p w:rsidR="002E69BA" w:rsidRPr="00270549" w:rsidP="002E69BA" w14:paraId="7EF07B47" w14:textId="77777777">
      <w:pPr>
        <w:jc w:val="center"/>
        <w:rPr>
          <w:rFonts w:ascii="Times New Roman" w:hAnsi="Times New Roman" w:cs="Times New Roman"/>
        </w:rPr>
      </w:pPr>
      <w:r w:rsidRPr="00270549">
        <w:rPr>
          <w:rFonts w:ascii="Times New Roman" w:hAnsi="Times New Roman" w:cs="Times New Roman"/>
        </w:rPr>
        <w:t>Date</w:t>
      </w:r>
    </w:p>
    <w:p w:rsidR="002E69BA" w:rsidRPr="00270549" w:rsidP="002E69BA" w14:paraId="6AB646B4" w14:textId="77777777">
      <w:pPr>
        <w:rPr>
          <w:rFonts w:ascii="Times New Roman" w:hAnsi="Times New Roman" w:cs="Times New Roman"/>
        </w:rPr>
      </w:pPr>
      <w:r w:rsidRPr="00270549">
        <w:rPr>
          <w:rFonts w:ascii="Times New Roman" w:hAnsi="Times New Roman" w:cs="Times New Roman"/>
        </w:rPr>
        <w:br w:type="page"/>
      </w:r>
    </w:p>
    <w:p w:rsidR="002E69BA" w:rsidRPr="00270549" w:rsidP="002E69BA" w14:paraId="2A964104" w14:textId="77777777">
      <w:pPr>
        <w:jc w:val="center"/>
        <w:rPr>
          <w:rFonts w:ascii="Times New Roman" w:hAnsi="Times New Roman" w:cs="Times New Roman"/>
          <w:b/>
          <w:bCs/>
        </w:rPr>
      </w:pPr>
      <w:r w:rsidRPr="00270549">
        <w:rPr>
          <w:rFonts w:ascii="Times New Roman" w:hAnsi="Times New Roman" w:cs="Times New Roman"/>
          <w:b/>
          <w:bCs/>
        </w:rPr>
        <w:t>ASSESSMENT 2: Data Infographic and Forecasting</w:t>
      </w:r>
    </w:p>
    <w:p w:rsidR="002E69BA" w:rsidRPr="00270549" w:rsidP="003B3BDE" w14:paraId="06F32448" w14:textId="32DF365C">
      <w:pPr>
        <w:pStyle w:val="ListParagraph"/>
        <w:numPr>
          <w:ilvl w:val="0"/>
          <w:numId w:val="4"/>
        </w:numPr>
        <w:jc w:val="center"/>
        <w:rPr>
          <w:rFonts w:ascii="Times New Roman" w:hAnsi="Times New Roman" w:cs="Times New Roman"/>
          <w:b/>
          <w:bCs/>
        </w:rPr>
      </w:pPr>
      <w:r w:rsidRPr="00270549">
        <w:rPr>
          <w:rFonts w:ascii="Times New Roman" w:hAnsi="Times New Roman" w:cs="Times New Roman"/>
          <w:b/>
          <w:bCs/>
        </w:rPr>
        <w:t>Analysis, Evaluation, and Improvement of the Original Data-Rich Report</w:t>
      </w:r>
    </w:p>
    <w:p w:rsidR="00C812D6" w:rsidRPr="00270549" w:rsidP="00C812D6" w14:paraId="25BFEDDC" w14:textId="77777777">
      <w:pPr>
        <w:rPr>
          <w:rFonts w:ascii="Times New Roman" w:hAnsi="Times New Roman" w:cs="Times New Roman"/>
          <w:b/>
          <w:bCs/>
        </w:rPr>
      </w:pPr>
      <w:r w:rsidRPr="00270549">
        <w:rPr>
          <w:rFonts w:ascii="Times New Roman" w:hAnsi="Times New Roman" w:cs="Times New Roman"/>
        </w:rPr>
        <w:t>This report presents total booking numbers without temporal depth or segmentation. The summary table of the visualisation should not further break down the time series. The trends, seasonality and irregularities of analysis are critical for operational planning (Pereira and Cerqueira, 2022) The enhanced infographic is more effective than the following three: (1) monthly time series between 2023 and 2025 with peaks in June-July and November-December; (2) overlaying of market segments with OTAs taking 62% of confirmed bookings that aligns with predictions of online booking platforms capturing 65% of worldwide hotel reservations by 2026 (</w:t>
      </w:r>
      <w:r w:rsidRPr="00270549">
        <w:rPr>
          <w:rFonts w:ascii="Times New Roman" w:hAnsi="Times New Roman" w:cs="Times New Roman"/>
        </w:rPr>
        <w:t>Cloudbeds</w:t>
      </w:r>
      <w:r w:rsidRPr="00270549">
        <w:rPr>
          <w:rFonts w:ascii="Times New Roman" w:hAnsi="Times New Roman" w:cs="Times New Roman"/>
        </w:rPr>
        <w:t>, 2025); and (3) key performance indicators – cancellation rate of 25.07% and average re-booking ratio of 3.67/5.0 The result of all these improvements is that it turns the report from being just descriptive to a decision-making tool for Kaplan Hotels’ management.</w:t>
      </w:r>
    </w:p>
    <w:p w:rsidR="002E69BA" w:rsidRPr="00270549" w:rsidP="003B3BDE" w14:paraId="7C7C724C" w14:textId="4F525CD3">
      <w:pPr>
        <w:pStyle w:val="ListParagraph"/>
        <w:numPr>
          <w:ilvl w:val="0"/>
          <w:numId w:val="4"/>
        </w:numPr>
        <w:jc w:val="center"/>
        <w:rPr>
          <w:rFonts w:ascii="Times New Roman" w:hAnsi="Times New Roman" w:cs="Times New Roman"/>
          <w:b/>
          <w:bCs/>
        </w:rPr>
      </w:pPr>
      <w:r w:rsidRPr="00270549">
        <w:rPr>
          <w:rFonts w:ascii="Times New Roman" w:hAnsi="Times New Roman" w:cs="Times New Roman"/>
          <w:b/>
          <w:bCs/>
        </w:rPr>
        <w:t>Data Preparation and Analysis Approach</w:t>
      </w:r>
    </w:p>
    <w:p w:rsidR="00C812D6" w:rsidRPr="00270549" w:rsidP="00C812D6" w14:paraId="2868BB12" w14:textId="77777777">
      <w:pPr>
        <w:rPr>
          <w:rFonts w:ascii="Times New Roman" w:hAnsi="Times New Roman" w:cs="Times New Roman"/>
        </w:rPr>
      </w:pPr>
      <w:r w:rsidRPr="00270549">
        <w:rPr>
          <w:rFonts w:ascii="Times New Roman" w:hAnsi="Times New Roman" w:cs="Times New Roman"/>
        </w:rPr>
        <w:t xml:space="preserve">The dataset included 38,475 bookings and 31 variables for the period September 2023 to December 2025. </w:t>
      </w:r>
      <w:r w:rsidRPr="00270549">
        <w:rPr>
          <w:rFonts w:ascii="Times New Roman" w:hAnsi="Times New Roman" w:cs="Times New Roman"/>
        </w:rPr>
        <w:t>Organising</w:t>
      </w:r>
      <w:r w:rsidRPr="00270549">
        <w:rPr>
          <w:rFonts w:ascii="Times New Roman" w:hAnsi="Times New Roman" w:cs="Times New Roman"/>
        </w:rPr>
        <w:t xml:space="preserve"> data.</w:t>
      </w:r>
    </w:p>
    <w:p w:rsidR="00C812D6" w:rsidRPr="00270549" w:rsidP="00C812D6" w14:paraId="4806BA7A" w14:textId="77777777">
      <w:pPr>
        <w:pStyle w:val="ListParagraph"/>
        <w:numPr>
          <w:ilvl w:val="0"/>
          <w:numId w:val="5"/>
        </w:numPr>
        <w:rPr>
          <w:rFonts w:ascii="Times New Roman" w:hAnsi="Times New Roman" w:cs="Times New Roman"/>
        </w:rPr>
      </w:pPr>
      <w:r w:rsidRPr="00270549">
        <w:rPr>
          <w:rFonts w:ascii="Times New Roman" w:hAnsi="Times New Roman" w:cs="Times New Roman"/>
        </w:rPr>
        <w:t>The writing system of the month abbreviation standardisation was done, and numeric fields were checked (ADR, rating, cancellation status).</w:t>
      </w:r>
    </w:p>
    <w:p w:rsidR="00C812D6" w:rsidRPr="00270549" w:rsidP="00C812D6" w14:paraId="175DCDC1" w14:textId="4C9B696F">
      <w:pPr>
        <w:pStyle w:val="ListParagraph"/>
        <w:numPr>
          <w:ilvl w:val="0"/>
          <w:numId w:val="5"/>
        </w:numPr>
        <w:rPr>
          <w:rFonts w:ascii="Times New Roman" w:hAnsi="Times New Roman" w:cs="Times New Roman"/>
        </w:rPr>
      </w:pPr>
      <w:r w:rsidRPr="00270549">
        <w:rPr>
          <w:rFonts w:ascii="Times New Roman" w:hAnsi="Times New Roman" w:cs="Times New Roman"/>
        </w:rPr>
        <w:t xml:space="preserve">Data transformation: Created a </w:t>
      </w:r>
      <w:r w:rsidRPr="00270549">
        <w:rPr>
          <w:rFonts w:ascii="Times New Roman" w:hAnsi="Times New Roman" w:cs="Times New Roman"/>
        </w:rPr>
        <w:t>new variable, guest</w:t>
      </w:r>
      <w:r w:rsidRPr="00270549">
        <w:rPr>
          <w:rFonts w:ascii="Times New Roman" w:hAnsi="Times New Roman" w:cs="Times New Roman"/>
        </w:rPr>
        <w:t>-adults + children. Only bookings that were not cancelled were considered for analysis (n = 28,829).</w:t>
      </w:r>
    </w:p>
    <w:p w:rsidR="00C812D6" w:rsidRPr="00270549" w:rsidP="00C812D6" w14:paraId="77419802" w14:textId="685B7329">
      <w:pPr>
        <w:pStyle w:val="ListParagraph"/>
        <w:numPr>
          <w:ilvl w:val="0"/>
          <w:numId w:val="5"/>
        </w:numPr>
        <w:rPr>
          <w:rFonts w:ascii="Times New Roman" w:hAnsi="Times New Roman" w:cs="Times New Roman"/>
        </w:rPr>
      </w:pPr>
      <w:r w:rsidRPr="00270549">
        <w:rPr>
          <w:rFonts w:ascii="Times New Roman" w:hAnsi="Times New Roman" w:cs="Times New Roman"/>
        </w:rPr>
        <w:t xml:space="preserve">In selecting the preferred year, no reliance on partial data for 2023 was made. Seasonal indexes were set relative to base year 2024. In regard to data modelling, a 22-point time series was constructed from guest numbers per month. </w:t>
      </w:r>
    </w:p>
    <w:p w:rsidR="003B3BDE" w:rsidRPr="00270549" w:rsidP="00C812D6" w14:paraId="4096DE37" w14:textId="3F0240CC">
      <w:pPr>
        <w:pStyle w:val="ListParagraph"/>
        <w:numPr>
          <w:ilvl w:val="0"/>
          <w:numId w:val="5"/>
        </w:numPr>
        <w:rPr>
          <w:rFonts w:ascii="Times New Roman" w:hAnsi="Times New Roman" w:cs="Times New Roman"/>
        </w:rPr>
      </w:pPr>
      <w:r w:rsidRPr="00270549">
        <w:rPr>
          <w:rFonts w:ascii="Times New Roman" w:hAnsi="Times New Roman" w:cs="Times New Roman"/>
        </w:rPr>
        <w:t>D</w:t>
      </w:r>
      <w:r w:rsidRPr="00270549">
        <w:rPr>
          <w:rFonts w:ascii="Times New Roman" w:hAnsi="Times New Roman" w:cs="Times New Roman"/>
        </w:rPr>
        <w:t>ata modelling</w:t>
      </w:r>
      <w:r w:rsidRPr="00270549">
        <w:rPr>
          <w:rFonts w:ascii="Times New Roman" w:hAnsi="Times New Roman" w:cs="Times New Roman"/>
        </w:rPr>
        <w:t xml:space="preserve">: </w:t>
      </w:r>
      <w:r w:rsidRPr="00270549">
        <w:rPr>
          <w:rFonts w:ascii="Times New Roman" w:hAnsi="Times New Roman" w:cs="Times New Roman"/>
        </w:rPr>
        <w:t>2024 (full year), 2025 (January to October) were the preferred data. Exponential smoothing was employed (alpha=0.7) as per best practices in short-term forecasting for hotels (</w:t>
      </w:r>
      <w:r w:rsidRPr="00270549">
        <w:rPr>
          <w:rFonts w:ascii="Times New Roman" w:hAnsi="Times New Roman" w:cs="Times New Roman"/>
        </w:rPr>
        <w:t>Ampountolas</w:t>
      </w:r>
      <w:r w:rsidRPr="00270549">
        <w:rPr>
          <w:rFonts w:ascii="Times New Roman" w:hAnsi="Times New Roman" w:cs="Times New Roman"/>
        </w:rPr>
        <w:t>, 2021).</w:t>
      </w:r>
    </w:p>
    <w:tbl>
      <w:tblPr>
        <w:tblStyle w:val="TableGrid"/>
        <w:tblW w:w="9360" w:type="dxa"/>
        <w:tblLook w:val="0000"/>
      </w:tblPr>
      <w:tblGrid>
        <w:gridCol w:w="2340"/>
        <w:gridCol w:w="2340"/>
        <w:gridCol w:w="2340"/>
        <w:gridCol w:w="2340"/>
      </w:tblGrid>
      <w:tr w14:paraId="70677841" w14:textId="77777777" w:rsidTr="002E69BA">
        <w:tblPrEx>
          <w:tblW w:w="9360" w:type="dxa"/>
          <w:tblLook w:val="0000"/>
        </w:tblPrEx>
        <w:tc>
          <w:tcPr>
            <w:tcW w:w="2340" w:type="dxa"/>
          </w:tcPr>
          <w:p w:rsidR="002E69BA" w:rsidRPr="00270549" w:rsidP="002E69BA" w14:paraId="5553A80D" w14:textId="77777777">
            <w:pPr>
              <w:spacing w:after="160" w:line="278" w:lineRule="auto"/>
              <w:rPr>
                <w:rFonts w:ascii="Times New Roman" w:hAnsi="Times New Roman" w:cs="Times New Roman"/>
              </w:rPr>
            </w:pPr>
            <w:r w:rsidRPr="00270549">
              <w:rPr>
                <w:rFonts w:ascii="Times New Roman" w:hAnsi="Times New Roman" w:cs="Times New Roman"/>
                <w:b/>
                <w:bCs/>
              </w:rPr>
              <w:t>Total Bookings</w:t>
            </w:r>
          </w:p>
        </w:tc>
        <w:tc>
          <w:tcPr>
            <w:tcW w:w="2340" w:type="dxa"/>
          </w:tcPr>
          <w:p w:rsidR="002E69BA" w:rsidRPr="00270549" w:rsidP="002E69BA" w14:paraId="0562CAE6" w14:textId="77777777">
            <w:pPr>
              <w:spacing w:after="160" w:line="278" w:lineRule="auto"/>
              <w:rPr>
                <w:rFonts w:ascii="Times New Roman" w:hAnsi="Times New Roman" w:cs="Times New Roman"/>
              </w:rPr>
            </w:pPr>
            <w:r w:rsidRPr="00270549">
              <w:rPr>
                <w:rFonts w:ascii="Times New Roman" w:hAnsi="Times New Roman" w:cs="Times New Roman"/>
                <w:b/>
                <w:bCs/>
              </w:rPr>
              <w:t>Cancellation Rate</w:t>
            </w:r>
          </w:p>
        </w:tc>
        <w:tc>
          <w:tcPr>
            <w:tcW w:w="2340" w:type="dxa"/>
          </w:tcPr>
          <w:p w:rsidR="002E69BA" w:rsidRPr="00270549" w:rsidP="002E69BA" w14:paraId="3A0E9AAB" w14:textId="77777777">
            <w:pPr>
              <w:spacing w:after="160" w:line="278" w:lineRule="auto"/>
              <w:rPr>
                <w:rFonts w:ascii="Times New Roman" w:hAnsi="Times New Roman" w:cs="Times New Roman"/>
              </w:rPr>
            </w:pPr>
            <w:r w:rsidRPr="00270549">
              <w:rPr>
                <w:rFonts w:ascii="Times New Roman" w:hAnsi="Times New Roman" w:cs="Times New Roman"/>
                <w:b/>
                <w:bCs/>
              </w:rPr>
              <w:t>Avg. Daily Rate (AUD)</w:t>
            </w:r>
          </w:p>
        </w:tc>
        <w:tc>
          <w:tcPr>
            <w:tcW w:w="2340" w:type="dxa"/>
          </w:tcPr>
          <w:p w:rsidR="002E69BA" w:rsidRPr="00270549" w:rsidP="002E69BA" w14:paraId="5D50660A" w14:textId="77777777">
            <w:pPr>
              <w:spacing w:after="160" w:line="278" w:lineRule="auto"/>
              <w:rPr>
                <w:rFonts w:ascii="Times New Roman" w:hAnsi="Times New Roman" w:cs="Times New Roman"/>
              </w:rPr>
            </w:pPr>
            <w:r w:rsidRPr="00270549">
              <w:rPr>
                <w:rFonts w:ascii="Times New Roman" w:hAnsi="Times New Roman" w:cs="Times New Roman"/>
                <w:b/>
                <w:bCs/>
              </w:rPr>
              <w:t>Avg. Guest Rating</w:t>
            </w:r>
          </w:p>
        </w:tc>
      </w:tr>
      <w:tr w14:paraId="4A6A8737" w14:textId="77777777" w:rsidTr="002E69BA">
        <w:tblPrEx>
          <w:tblW w:w="9360" w:type="dxa"/>
          <w:tblLook w:val="0000"/>
        </w:tblPrEx>
        <w:tc>
          <w:tcPr>
            <w:tcW w:w="2340" w:type="dxa"/>
          </w:tcPr>
          <w:p w:rsidR="002E69BA" w:rsidRPr="00270549" w:rsidP="002E69BA" w14:paraId="4C7D41A9" w14:textId="77777777">
            <w:pPr>
              <w:spacing w:after="160" w:line="278" w:lineRule="auto"/>
              <w:rPr>
                <w:rFonts w:ascii="Times New Roman" w:hAnsi="Times New Roman" w:cs="Times New Roman"/>
              </w:rPr>
            </w:pPr>
            <w:r w:rsidRPr="00270549">
              <w:rPr>
                <w:rFonts w:ascii="Times New Roman" w:hAnsi="Times New Roman" w:cs="Times New Roman"/>
                <w:b/>
                <w:bCs/>
              </w:rPr>
              <w:t>38,475 Records</w:t>
            </w:r>
          </w:p>
        </w:tc>
        <w:tc>
          <w:tcPr>
            <w:tcW w:w="2340" w:type="dxa"/>
          </w:tcPr>
          <w:p w:rsidR="002E69BA" w:rsidRPr="00270549" w:rsidP="002E69BA" w14:paraId="7C4CC788" w14:textId="77777777">
            <w:pPr>
              <w:spacing w:after="160" w:line="278" w:lineRule="auto"/>
              <w:rPr>
                <w:rFonts w:ascii="Times New Roman" w:hAnsi="Times New Roman" w:cs="Times New Roman"/>
              </w:rPr>
            </w:pPr>
            <w:r w:rsidRPr="00270549">
              <w:rPr>
                <w:rFonts w:ascii="Times New Roman" w:hAnsi="Times New Roman" w:cs="Times New Roman"/>
                <w:b/>
                <w:bCs/>
              </w:rPr>
              <w:t>25.07%</w:t>
            </w:r>
          </w:p>
        </w:tc>
        <w:tc>
          <w:tcPr>
            <w:tcW w:w="2340" w:type="dxa"/>
          </w:tcPr>
          <w:p w:rsidR="002E69BA" w:rsidRPr="00270549" w:rsidP="002E69BA" w14:paraId="288FB620" w14:textId="77777777">
            <w:pPr>
              <w:spacing w:after="160" w:line="278" w:lineRule="auto"/>
              <w:rPr>
                <w:rFonts w:ascii="Times New Roman" w:hAnsi="Times New Roman" w:cs="Times New Roman"/>
              </w:rPr>
            </w:pPr>
            <w:r w:rsidRPr="00270549">
              <w:rPr>
                <w:rFonts w:ascii="Times New Roman" w:hAnsi="Times New Roman" w:cs="Times New Roman"/>
                <w:b/>
                <w:bCs/>
              </w:rPr>
              <w:t>AUD $139.27</w:t>
            </w:r>
          </w:p>
        </w:tc>
        <w:tc>
          <w:tcPr>
            <w:tcW w:w="2340" w:type="dxa"/>
          </w:tcPr>
          <w:p w:rsidR="002E69BA" w:rsidRPr="00270549" w:rsidP="002E69BA" w14:paraId="2C4ABE12" w14:textId="77777777">
            <w:pPr>
              <w:spacing w:after="160" w:line="278" w:lineRule="auto"/>
              <w:rPr>
                <w:rFonts w:ascii="Times New Roman" w:hAnsi="Times New Roman" w:cs="Times New Roman"/>
              </w:rPr>
            </w:pPr>
            <w:r w:rsidRPr="00270549">
              <w:rPr>
                <w:rFonts w:ascii="Times New Roman" w:hAnsi="Times New Roman" w:cs="Times New Roman"/>
                <w:b/>
                <w:bCs/>
              </w:rPr>
              <w:t>3.67 / 5.0</w:t>
            </w:r>
          </w:p>
        </w:tc>
      </w:tr>
    </w:tbl>
    <w:p w:rsidR="002E69BA" w:rsidRPr="00270549" w:rsidP="002E69BA" w14:paraId="73D2182D" w14:textId="77777777">
      <w:pPr>
        <w:rPr>
          <w:rFonts w:ascii="Times New Roman" w:hAnsi="Times New Roman" w:cs="Times New Roman"/>
        </w:rPr>
      </w:pPr>
    </w:p>
    <w:p w:rsidR="002E69BA" w:rsidRPr="00270549" w:rsidP="003B3BDE" w14:paraId="5DF67653" w14:textId="631F08EC">
      <w:pPr>
        <w:pStyle w:val="ListParagraph"/>
        <w:numPr>
          <w:ilvl w:val="0"/>
          <w:numId w:val="4"/>
        </w:numPr>
        <w:jc w:val="center"/>
        <w:rPr>
          <w:rFonts w:ascii="Times New Roman" w:hAnsi="Times New Roman" w:cs="Times New Roman"/>
          <w:b/>
          <w:bCs/>
        </w:rPr>
      </w:pPr>
      <w:r w:rsidRPr="00270549">
        <w:rPr>
          <w:rFonts w:ascii="Times New Roman" w:hAnsi="Times New Roman" w:cs="Times New Roman"/>
          <w:b/>
          <w:bCs/>
        </w:rPr>
        <w:t>Time Series Analysis of Customer Demand</w:t>
      </w:r>
    </w:p>
    <w:p w:rsidR="002E69BA" w:rsidRPr="00270549" w:rsidP="002E69BA" w14:paraId="5B87FA8A" w14:textId="77777777">
      <w:pPr>
        <w:rPr>
          <w:rFonts w:ascii="Times New Roman" w:hAnsi="Times New Roman" w:cs="Times New Roman"/>
          <w:b/>
          <w:bCs/>
        </w:rPr>
      </w:pPr>
      <w:r w:rsidRPr="00270549">
        <w:rPr>
          <w:rFonts w:ascii="Times New Roman" w:hAnsi="Times New Roman" w:cs="Times New Roman"/>
          <w:b/>
          <w:bCs/>
        </w:rPr>
        <w:t>Trend</w:t>
      </w:r>
    </w:p>
    <w:p w:rsidR="00933038" w:rsidRPr="00270549" w:rsidP="00B134D8" w14:paraId="4E717A17" w14:textId="77777777">
      <w:pPr>
        <w:rPr>
          <w:rFonts w:ascii="Times New Roman" w:hAnsi="Times New Roman" w:cs="Times New Roman"/>
        </w:rPr>
      </w:pPr>
      <w:r w:rsidRPr="00270549">
        <w:rPr>
          <w:rFonts w:ascii="Times New Roman" w:hAnsi="Times New Roman" w:cs="Times New Roman"/>
        </w:rPr>
        <w:t>The number of non-cancelled guests went up from about 10,641 (2023, partial) to 26,610 (2024, full year), demonstrating impressive year-over-year growth. Between January and October 2025, there are partial guest numbers totaling 18,097; after annualising them, the figure is practically equivalent to 2024 if you take into account the spike in November-December. The reason behind the growth has been the same growth in the recovery of travel around the world since the pandemic, leading to a revenue of nearly USD $112 billion per year for hotels in the United States by 2024, with growth forecasted until 2030 (NetSuite, 2025).</w:t>
      </w:r>
    </w:p>
    <w:p w:rsidR="00B134D8" w:rsidRPr="00270549" w:rsidP="00B134D8" w14:paraId="5242AD91" w14:textId="586C5122">
      <w:pPr>
        <w:rPr>
          <w:rFonts w:ascii="Times New Roman" w:hAnsi="Times New Roman" w:cs="Times New Roman"/>
          <w:b/>
          <w:bCs/>
        </w:rPr>
      </w:pPr>
      <w:r w:rsidRPr="00270549">
        <w:rPr>
          <w:rFonts w:ascii="Times New Roman" w:hAnsi="Times New Roman" w:cs="Times New Roman"/>
          <w:b/>
          <w:bCs/>
        </w:rPr>
        <w:t>Seasonal</w:t>
      </w:r>
      <w:r w:rsidRPr="00270549">
        <w:rPr>
          <w:rFonts w:ascii="Times New Roman" w:hAnsi="Times New Roman" w:cs="Times New Roman"/>
          <w:b/>
          <w:bCs/>
        </w:rPr>
        <w:t>ity</w:t>
      </w:r>
    </w:p>
    <w:p w:rsidR="00C812D6" w:rsidRPr="00270549" w:rsidP="00B134D8" w14:paraId="0498EF81" w14:textId="77777777">
      <w:pPr>
        <w:rPr>
          <w:rFonts w:ascii="Times New Roman" w:hAnsi="Times New Roman" w:cs="Times New Roman"/>
        </w:rPr>
      </w:pPr>
      <w:r w:rsidRPr="00270549">
        <w:rPr>
          <w:rFonts w:ascii="Times New Roman" w:hAnsi="Times New Roman" w:cs="Times New Roman"/>
        </w:rPr>
        <w:t>Two distinct peaks can be observed, namely one during the summer months (June-July accounting for 18-22% of the yearly visitors) and the other towards the end of the year (November-December having 25-31% of the yearly visitors). The first quarter will be the period with the lowest demand, while January-March contributes 17.8% of the total number of visitors in 2024. Following the seasonal pattern proposed by NetSuite (2025), the new peaks and valleys present a major dilemma when it comes to managing organisational resources.</w:t>
      </w:r>
    </w:p>
    <w:p w:rsidR="00B134D8" w:rsidRPr="00270549" w:rsidP="00B134D8" w14:paraId="7B2B7917" w14:textId="73224409">
      <w:pPr>
        <w:rPr>
          <w:rFonts w:ascii="Times New Roman" w:hAnsi="Times New Roman" w:cs="Times New Roman"/>
          <w:b/>
          <w:bCs/>
        </w:rPr>
      </w:pPr>
      <w:r w:rsidRPr="00270549">
        <w:rPr>
          <w:rFonts w:ascii="Times New Roman" w:hAnsi="Times New Roman" w:cs="Times New Roman"/>
          <w:b/>
          <w:bCs/>
        </w:rPr>
        <w:t xml:space="preserve">Irregularities </w:t>
      </w:r>
    </w:p>
    <w:p w:rsidR="00B134D8" w:rsidRPr="00270549" w:rsidP="002E69BA" w14:paraId="5A584CA0" w14:textId="08228E9D">
      <w:pPr>
        <w:rPr>
          <w:rFonts w:ascii="Times New Roman" w:hAnsi="Times New Roman" w:cs="Times New Roman"/>
        </w:rPr>
      </w:pPr>
      <w:r w:rsidRPr="00270549">
        <w:rPr>
          <w:rFonts w:ascii="Times New Roman" w:hAnsi="Times New Roman" w:cs="Times New Roman"/>
        </w:rPr>
        <w:t>These anomalies can be seen in March-April 2025 (701, 381 guests), while in 2024 there were no similar anomalies (1,030, 1,577 guests). The anomalies may be attributed either to flawed forecasting or missing data on these months, or an actual demand anomaly.</w:t>
      </w:r>
      <w:r w:rsidRPr="00270549">
        <w:rPr>
          <w:rFonts w:ascii="Times New Roman" w:hAnsi="Times New Roman" w:cs="Times New Roman"/>
        </w:rPr>
        <w:t xml:space="preserve"> </w:t>
      </w:r>
      <w:r w:rsidRPr="00270549" w:rsidR="00933038">
        <w:rPr>
          <w:rFonts w:ascii="Times New Roman" w:hAnsi="Times New Roman" w:cs="Times New Roman"/>
        </w:rPr>
        <w:t xml:space="preserve">The last </w:t>
      </w:r>
      <w:r w:rsidRPr="00270549" w:rsidR="00933038">
        <w:rPr>
          <w:rFonts w:ascii="Times New Roman" w:hAnsi="Times New Roman" w:cs="Times New Roman"/>
        </w:rPr>
        <w:t>bunch</w:t>
      </w:r>
      <w:r w:rsidRPr="00270549" w:rsidR="00933038">
        <w:rPr>
          <w:rFonts w:ascii="Times New Roman" w:hAnsi="Times New Roman" w:cs="Times New Roman"/>
        </w:rPr>
        <w:t xml:space="preserve"> of months</w:t>
      </w:r>
      <w:r w:rsidRPr="00270549" w:rsidR="00933038">
        <w:rPr>
          <w:rFonts w:ascii="Times New Roman" w:hAnsi="Times New Roman" w:cs="Times New Roman"/>
        </w:rPr>
        <w:t xml:space="preserve"> </w:t>
      </w:r>
      <w:r w:rsidRPr="00270549" w:rsidR="00933038">
        <w:rPr>
          <w:rFonts w:ascii="Times New Roman" w:hAnsi="Times New Roman" w:cs="Times New Roman"/>
        </w:rPr>
        <w:t xml:space="preserve">supports the view that there are always different seasons from </w:t>
      </w:r>
      <w:r w:rsidRPr="00270549" w:rsidR="00933038">
        <w:rPr>
          <w:rFonts w:ascii="Times New Roman" w:hAnsi="Times New Roman" w:cs="Times New Roman"/>
        </w:rPr>
        <w:t>previous</w:t>
      </w:r>
      <w:r w:rsidRPr="00270549" w:rsidR="00933038">
        <w:rPr>
          <w:rFonts w:ascii="Times New Roman" w:hAnsi="Times New Roman" w:cs="Times New Roman"/>
        </w:rPr>
        <w:t xml:space="preserve"> year</w:t>
      </w:r>
      <w:r w:rsidRPr="00270549" w:rsidR="00933038">
        <w:rPr>
          <w:rFonts w:ascii="Times New Roman" w:hAnsi="Times New Roman" w:cs="Times New Roman"/>
        </w:rPr>
        <w:t>s</w:t>
      </w:r>
      <w:r w:rsidRPr="00270549" w:rsidR="00933038">
        <w:rPr>
          <w:rFonts w:ascii="Times New Roman" w:hAnsi="Times New Roman" w:cs="Times New Roman"/>
        </w:rPr>
        <w:t xml:space="preserve"> (Lighthouse, 2026). The Revenue Manager should be prepared to take these numbers seriously in the future.</w:t>
      </w:r>
    </w:p>
    <w:p w:rsidR="002E69BA" w:rsidRPr="00270549" w:rsidP="003B3BDE" w14:paraId="3C7B4CC8" w14:textId="6CB3579C">
      <w:pPr>
        <w:pStyle w:val="ListParagraph"/>
        <w:numPr>
          <w:ilvl w:val="0"/>
          <w:numId w:val="4"/>
        </w:numPr>
        <w:jc w:val="center"/>
        <w:rPr>
          <w:rFonts w:ascii="Times New Roman" w:hAnsi="Times New Roman" w:cs="Times New Roman"/>
          <w:b/>
          <w:bCs/>
        </w:rPr>
      </w:pPr>
      <w:r w:rsidRPr="00270549">
        <w:rPr>
          <w:rFonts w:ascii="Times New Roman" w:hAnsi="Times New Roman" w:cs="Times New Roman"/>
          <w:b/>
          <w:bCs/>
        </w:rPr>
        <w:t>Forecasting Method and Results</w:t>
      </w:r>
    </w:p>
    <w:p w:rsidR="00B134D8" w:rsidRPr="00270549" w:rsidP="00C812D6" w14:paraId="79F070E7" w14:textId="18284369">
      <w:pPr>
        <w:rPr>
          <w:rFonts w:ascii="Times New Roman" w:hAnsi="Times New Roman" w:cs="Times New Roman"/>
        </w:rPr>
      </w:pPr>
      <w:r w:rsidRPr="00270549">
        <w:rPr>
          <w:rFonts w:ascii="Times New Roman" w:hAnsi="Times New Roman" w:cs="Times New Roman"/>
        </w:rPr>
        <w:t xml:space="preserve">The following reasons were selected Exponential Smoothing (ES, alpha = 0.7) to forecast total revenue for the one quarter horizon Q1 2026. Firstly, the quarter one forecast </w:t>
      </w:r>
      <w:r w:rsidRPr="00270549">
        <w:rPr>
          <w:rFonts w:ascii="Times New Roman" w:hAnsi="Times New Roman" w:cs="Times New Roman"/>
        </w:rPr>
        <w:t>favours</w:t>
      </w:r>
      <w:r w:rsidRPr="00270549">
        <w:rPr>
          <w:rFonts w:ascii="Times New Roman" w:hAnsi="Times New Roman" w:cs="Times New Roman"/>
        </w:rPr>
        <w:t xml:space="preserve"> recent weighted models as opposed to complex ARIMA/ML approaches (</w:t>
      </w:r>
      <w:r w:rsidRPr="00270549">
        <w:rPr>
          <w:rFonts w:ascii="Times New Roman" w:hAnsi="Times New Roman" w:cs="Times New Roman"/>
        </w:rPr>
        <w:t>RoomPriceGenie</w:t>
      </w:r>
      <w:r w:rsidRPr="00270549">
        <w:rPr>
          <w:rFonts w:ascii="Times New Roman" w:hAnsi="Times New Roman" w:cs="Times New Roman"/>
        </w:rPr>
        <w:t>, 2026). Secondly, only two years' worth of monthly data make a SARIMA model over parameterised. Finally, Holt-Winters ES is an industry standard in Revenue management systems (Lighthouse, 2026; Northwestern MSIA, 2024). The formula that is implemented is F(t) = 0.7 × A(t-1) + 0.3 × F(t-1).</w:t>
      </w:r>
    </w:p>
    <w:tbl>
      <w:tblPr>
        <w:tblStyle w:val="TableGrid"/>
        <w:tblW w:w="9360" w:type="dxa"/>
        <w:tblLook w:val="0000"/>
      </w:tblPr>
      <w:tblGrid>
        <w:gridCol w:w="2340"/>
        <w:gridCol w:w="2340"/>
        <w:gridCol w:w="2340"/>
        <w:gridCol w:w="2340"/>
      </w:tblGrid>
      <w:tr w14:paraId="0D1C9264" w14:textId="77777777" w:rsidTr="002E69BA">
        <w:tblPrEx>
          <w:tblW w:w="9360" w:type="dxa"/>
          <w:tblLook w:val="0000"/>
        </w:tblPrEx>
        <w:tc>
          <w:tcPr>
            <w:tcW w:w="2340" w:type="dxa"/>
          </w:tcPr>
          <w:p w:rsidR="002E69BA" w:rsidRPr="00270549" w:rsidP="002E69BA" w14:paraId="1D127F9F" w14:textId="77777777">
            <w:pPr>
              <w:spacing w:after="160" w:line="278" w:lineRule="auto"/>
              <w:rPr>
                <w:rFonts w:ascii="Times New Roman" w:hAnsi="Times New Roman" w:cs="Times New Roman"/>
              </w:rPr>
            </w:pPr>
            <w:r w:rsidRPr="00270549">
              <w:rPr>
                <w:rFonts w:ascii="Times New Roman" w:hAnsi="Times New Roman" w:cs="Times New Roman"/>
                <w:b/>
                <w:bCs/>
              </w:rPr>
              <w:t>Month</w:t>
            </w:r>
          </w:p>
        </w:tc>
        <w:tc>
          <w:tcPr>
            <w:tcW w:w="2340" w:type="dxa"/>
          </w:tcPr>
          <w:p w:rsidR="002E69BA" w:rsidRPr="00270549" w:rsidP="002E69BA" w14:paraId="69B6BA58" w14:textId="77777777">
            <w:pPr>
              <w:spacing w:after="160" w:line="278" w:lineRule="auto"/>
              <w:rPr>
                <w:rFonts w:ascii="Times New Roman" w:hAnsi="Times New Roman" w:cs="Times New Roman"/>
              </w:rPr>
            </w:pPr>
            <w:r w:rsidRPr="00270549">
              <w:rPr>
                <w:rFonts w:ascii="Times New Roman" w:hAnsi="Times New Roman" w:cs="Times New Roman"/>
                <w:b/>
                <w:bCs/>
              </w:rPr>
              <w:t>2024 Actual</w:t>
            </w:r>
          </w:p>
        </w:tc>
        <w:tc>
          <w:tcPr>
            <w:tcW w:w="2340" w:type="dxa"/>
          </w:tcPr>
          <w:p w:rsidR="002E69BA" w:rsidRPr="00270549" w:rsidP="002E69BA" w14:paraId="2217BC07" w14:textId="77777777">
            <w:pPr>
              <w:spacing w:after="160" w:line="278" w:lineRule="auto"/>
              <w:rPr>
                <w:rFonts w:ascii="Times New Roman" w:hAnsi="Times New Roman" w:cs="Times New Roman"/>
              </w:rPr>
            </w:pPr>
            <w:r w:rsidRPr="00270549">
              <w:rPr>
                <w:rFonts w:ascii="Times New Roman" w:hAnsi="Times New Roman" w:cs="Times New Roman"/>
                <w:b/>
                <w:bCs/>
              </w:rPr>
              <w:t>2025 Actual</w:t>
            </w:r>
          </w:p>
        </w:tc>
        <w:tc>
          <w:tcPr>
            <w:tcW w:w="2340" w:type="dxa"/>
          </w:tcPr>
          <w:p w:rsidR="002E69BA" w:rsidRPr="00270549" w:rsidP="002E69BA" w14:paraId="03952E44" w14:textId="77777777">
            <w:pPr>
              <w:spacing w:after="160" w:line="278" w:lineRule="auto"/>
              <w:rPr>
                <w:rFonts w:ascii="Times New Roman" w:hAnsi="Times New Roman" w:cs="Times New Roman"/>
              </w:rPr>
            </w:pPr>
            <w:r w:rsidRPr="00270549">
              <w:rPr>
                <w:rFonts w:ascii="Times New Roman" w:hAnsi="Times New Roman" w:cs="Times New Roman"/>
                <w:b/>
                <w:bCs/>
              </w:rPr>
              <w:t>2026 Forecast (ES)</w:t>
            </w:r>
          </w:p>
        </w:tc>
      </w:tr>
      <w:tr w14:paraId="11C94B53" w14:textId="77777777" w:rsidTr="002E69BA">
        <w:tblPrEx>
          <w:tblW w:w="9360" w:type="dxa"/>
          <w:tblLook w:val="0000"/>
        </w:tblPrEx>
        <w:tc>
          <w:tcPr>
            <w:tcW w:w="2340" w:type="dxa"/>
          </w:tcPr>
          <w:p w:rsidR="002E69BA" w:rsidRPr="00270549" w:rsidP="002E69BA" w14:paraId="1C28B5D6" w14:textId="77777777">
            <w:pPr>
              <w:spacing w:after="160" w:line="278" w:lineRule="auto"/>
              <w:rPr>
                <w:rFonts w:ascii="Times New Roman" w:hAnsi="Times New Roman" w:cs="Times New Roman"/>
              </w:rPr>
            </w:pPr>
            <w:r w:rsidRPr="00270549">
              <w:rPr>
                <w:rFonts w:ascii="Times New Roman" w:hAnsi="Times New Roman" w:cs="Times New Roman"/>
              </w:rPr>
              <w:t>January</w:t>
            </w:r>
          </w:p>
        </w:tc>
        <w:tc>
          <w:tcPr>
            <w:tcW w:w="2340" w:type="dxa"/>
          </w:tcPr>
          <w:p w:rsidR="002E69BA" w:rsidRPr="00270549" w:rsidP="002E69BA" w14:paraId="60D48C5C" w14:textId="77777777">
            <w:pPr>
              <w:spacing w:after="160" w:line="278" w:lineRule="auto"/>
              <w:rPr>
                <w:rFonts w:ascii="Times New Roman" w:hAnsi="Times New Roman" w:cs="Times New Roman"/>
              </w:rPr>
            </w:pPr>
            <w:r w:rsidRPr="00270549">
              <w:rPr>
                <w:rFonts w:ascii="Times New Roman" w:hAnsi="Times New Roman" w:cs="Times New Roman"/>
              </w:rPr>
              <w:t>2,037</w:t>
            </w:r>
          </w:p>
        </w:tc>
        <w:tc>
          <w:tcPr>
            <w:tcW w:w="2340" w:type="dxa"/>
          </w:tcPr>
          <w:p w:rsidR="002E69BA" w:rsidRPr="00270549" w:rsidP="002E69BA" w14:paraId="55199969" w14:textId="77777777">
            <w:pPr>
              <w:spacing w:after="160" w:line="278" w:lineRule="auto"/>
              <w:rPr>
                <w:rFonts w:ascii="Times New Roman" w:hAnsi="Times New Roman" w:cs="Times New Roman"/>
              </w:rPr>
            </w:pPr>
            <w:r w:rsidRPr="00270549">
              <w:rPr>
                <w:rFonts w:ascii="Times New Roman" w:hAnsi="Times New Roman" w:cs="Times New Roman"/>
              </w:rPr>
              <w:t>2,341</w:t>
            </w:r>
          </w:p>
        </w:tc>
        <w:tc>
          <w:tcPr>
            <w:tcW w:w="2340" w:type="dxa"/>
          </w:tcPr>
          <w:p w:rsidR="002E69BA" w:rsidRPr="00270549" w:rsidP="002E69BA" w14:paraId="521F31E0" w14:textId="77777777">
            <w:pPr>
              <w:spacing w:after="160" w:line="278" w:lineRule="auto"/>
              <w:rPr>
                <w:rFonts w:ascii="Times New Roman" w:hAnsi="Times New Roman" w:cs="Times New Roman"/>
              </w:rPr>
            </w:pPr>
            <w:r w:rsidRPr="00270549">
              <w:rPr>
                <w:rFonts w:ascii="Times New Roman" w:hAnsi="Times New Roman" w:cs="Times New Roman"/>
                <w:b/>
                <w:bCs/>
              </w:rPr>
              <w:t>2,250 ↑</w:t>
            </w:r>
          </w:p>
        </w:tc>
      </w:tr>
      <w:tr w14:paraId="642C0910" w14:textId="77777777" w:rsidTr="002E69BA">
        <w:tblPrEx>
          <w:tblW w:w="9360" w:type="dxa"/>
          <w:tblLook w:val="0000"/>
        </w:tblPrEx>
        <w:tc>
          <w:tcPr>
            <w:tcW w:w="2340" w:type="dxa"/>
          </w:tcPr>
          <w:p w:rsidR="002E69BA" w:rsidRPr="00270549" w:rsidP="002E69BA" w14:paraId="725B66AC" w14:textId="77777777">
            <w:pPr>
              <w:spacing w:after="160" w:line="278" w:lineRule="auto"/>
              <w:rPr>
                <w:rFonts w:ascii="Times New Roman" w:hAnsi="Times New Roman" w:cs="Times New Roman"/>
              </w:rPr>
            </w:pPr>
            <w:r w:rsidRPr="00270549">
              <w:rPr>
                <w:rFonts w:ascii="Times New Roman" w:hAnsi="Times New Roman" w:cs="Times New Roman"/>
              </w:rPr>
              <w:t>February</w:t>
            </w:r>
          </w:p>
        </w:tc>
        <w:tc>
          <w:tcPr>
            <w:tcW w:w="2340" w:type="dxa"/>
          </w:tcPr>
          <w:p w:rsidR="002E69BA" w:rsidRPr="00270549" w:rsidP="002E69BA" w14:paraId="377EC52D" w14:textId="77777777">
            <w:pPr>
              <w:spacing w:after="160" w:line="278" w:lineRule="auto"/>
              <w:rPr>
                <w:rFonts w:ascii="Times New Roman" w:hAnsi="Times New Roman" w:cs="Times New Roman"/>
              </w:rPr>
            </w:pPr>
            <w:r w:rsidRPr="00270549">
              <w:rPr>
                <w:rFonts w:ascii="Times New Roman" w:hAnsi="Times New Roman" w:cs="Times New Roman"/>
              </w:rPr>
              <w:t>1,659</w:t>
            </w:r>
          </w:p>
        </w:tc>
        <w:tc>
          <w:tcPr>
            <w:tcW w:w="2340" w:type="dxa"/>
          </w:tcPr>
          <w:p w:rsidR="002E69BA" w:rsidRPr="00270549" w:rsidP="002E69BA" w14:paraId="155F3062" w14:textId="77777777">
            <w:pPr>
              <w:spacing w:after="160" w:line="278" w:lineRule="auto"/>
              <w:rPr>
                <w:rFonts w:ascii="Times New Roman" w:hAnsi="Times New Roman" w:cs="Times New Roman"/>
              </w:rPr>
            </w:pPr>
            <w:r w:rsidRPr="00270549">
              <w:rPr>
                <w:rFonts w:ascii="Times New Roman" w:hAnsi="Times New Roman" w:cs="Times New Roman"/>
              </w:rPr>
              <w:t>2,037</w:t>
            </w:r>
          </w:p>
        </w:tc>
        <w:tc>
          <w:tcPr>
            <w:tcW w:w="2340" w:type="dxa"/>
          </w:tcPr>
          <w:p w:rsidR="002E69BA" w:rsidRPr="00270549" w:rsidP="002E69BA" w14:paraId="7FCFDBB1" w14:textId="77777777">
            <w:pPr>
              <w:spacing w:after="160" w:line="278" w:lineRule="auto"/>
              <w:rPr>
                <w:rFonts w:ascii="Times New Roman" w:hAnsi="Times New Roman" w:cs="Times New Roman"/>
              </w:rPr>
            </w:pPr>
            <w:r w:rsidRPr="00270549">
              <w:rPr>
                <w:rFonts w:ascii="Times New Roman" w:hAnsi="Times New Roman" w:cs="Times New Roman"/>
                <w:b/>
                <w:bCs/>
              </w:rPr>
              <w:t>1,924 ↑</w:t>
            </w:r>
          </w:p>
        </w:tc>
      </w:tr>
      <w:tr w14:paraId="6CF60E54" w14:textId="77777777" w:rsidTr="002E69BA">
        <w:tblPrEx>
          <w:tblW w:w="9360" w:type="dxa"/>
          <w:tblLook w:val="0000"/>
        </w:tblPrEx>
        <w:tc>
          <w:tcPr>
            <w:tcW w:w="2340" w:type="dxa"/>
          </w:tcPr>
          <w:p w:rsidR="002E69BA" w:rsidRPr="00270549" w:rsidP="002E69BA" w14:paraId="08649D15" w14:textId="77777777">
            <w:pPr>
              <w:spacing w:after="160" w:line="278" w:lineRule="auto"/>
              <w:rPr>
                <w:rFonts w:ascii="Times New Roman" w:hAnsi="Times New Roman" w:cs="Times New Roman"/>
              </w:rPr>
            </w:pPr>
            <w:r w:rsidRPr="00270549">
              <w:rPr>
                <w:rFonts w:ascii="Times New Roman" w:hAnsi="Times New Roman" w:cs="Times New Roman"/>
              </w:rPr>
              <w:t>March</w:t>
            </w:r>
          </w:p>
        </w:tc>
        <w:tc>
          <w:tcPr>
            <w:tcW w:w="2340" w:type="dxa"/>
          </w:tcPr>
          <w:p w:rsidR="002E69BA" w:rsidRPr="00270549" w:rsidP="002E69BA" w14:paraId="16EAE22F" w14:textId="77777777">
            <w:pPr>
              <w:spacing w:after="160" w:line="278" w:lineRule="auto"/>
              <w:rPr>
                <w:rFonts w:ascii="Times New Roman" w:hAnsi="Times New Roman" w:cs="Times New Roman"/>
              </w:rPr>
            </w:pPr>
            <w:r w:rsidRPr="00270549">
              <w:rPr>
                <w:rFonts w:ascii="Times New Roman" w:hAnsi="Times New Roman" w:cs="Times New Roman"/>
              </w:rPr>
              <w:t>1,030</w:t>
            </w:r>
          </w:p>
        </w:tc>
        <w:tc>
          <w:tcPr>
            <w:tcW w:w="2340" w:type="dxa"/>
          </w:tcPr>
          <w:p w:rsidR="002E69BA" w:rsidRPr="00270549" w:rsidP="002E69BA" w14:paraId="4BF3D75A" w14:textId="77777777">
            <w:pPr>
              <w:spacing w:after="160" w:line="278" w:lineRule="auto"/>
              <w:rPr>
                <w:rFonts w:ascii="Times New Roman" w:hAnsi="Times New Roman" w:cs="Times New Roman"/>
              </w:rPr>
            </w:pPr>
            <w:r w:rsidRPr="00270549">
              <w:rPr>
                <w:rFonts w:ascii="Times New Roman" w:hAnsi="Times New Roman" w:cs="Times New Roman"/>
              </w:rPr>
              <w:t>701</w:t>
            </w:r>
          </w:p>
        </w:tc>
        <w:tc>
          <w:tcPr>
            <w:tcW w:w="2340" w:type="dxa"/>
          </w:tcPr>
          <w:p w:rsidR="002E69BA" w:rsidRPr="00270549" w:rsidP="002E69BA" w14:paraId="64996CF6" w14:textId="77777777">
            <w:pPr>
              <w:spacing w:after="160" w:line="278" w:lineRule="auto"/>
              <w:rPr>
                <w:rFonts w:ascii="Times New Roman" w:hAnsi="Times New Roman" w:cs="Times New Roman"/>
              </w:rPr>
            </w:pPr>
            <w:r w:rsidRPr="00270549">
              <w:rPr>
                <w:rFonts w:ascii="Times New Roman" w:hAnsi="Times New Roman" w:cs="Times New Roman"/>
                <w:b/>
                <w:bCs/>
              </w:rPr>
              <w:t>800 ↑</w:t>
            </w:r>
          </w:p>
        </w:tc>
      </w:tr>
      <w:tr w14:paraId="7F49A533" w14:textId="77777777" w:rsidTr="002E69BA">
        <w:tblPrEx>
          <w:tblW w:w="9360" w:type="dxa"/>
          <w:tblLook w:val="0000"/>
        </w:tblPrEx>
        <w:tc>
          <w:tcPr>
            <w:tcW w:w="2340" w:type="dxa"/>
          </w:tcPr>
          <w:p w:rsidR="002E69BA" w:rsidRPr="00270549" w:rsidP="002E69BA" w14:paraId="36909B1C" w14:textId="77777777">
            <w:pPr>
              <w:spacing w:after="160" w:line="278" w:lineRule="auto"/>
              <w:rPr>
                <w:rFonts w:ascii="Times New Roman" w:hAnsi="Times New Roman" w:cs="Times New Roman"/>
              </w:rPr>
            </w:pPr>
            <w:r w:rsidRPr="00270549">
              <w:rPr>
                <w:rFonts w:ascii="Times New Roman" w:hAnsi="Times New Roman" w:cs="Times New Roman"/>
                <w:b/>
                <w:bCs/>
              </w:rPr>
              <w:t>Q1 Total</w:t>
            </w:r>
          </w:p>
        </w:tc>
        <w:tc>
          <w:tcPr>
            <w:tcW w:w="2340" w:type="dxa"/>
          </w:tcPr>
          <w:p w:rsidR="002E69BA" w:rsidRPr="00270549" w:rsidP="002E69BA" w14:paraId="649B5EE8" w14:textId="77777777">
            <w:pPr>
              <w:spacing w:after="160" w:line="278" w:lineRule="auto"/>
              <w:rPr>
                <w:rFonts w:ascii="Times New Roman" w:hAnsi="Times New Roman" w:cs="Times New Roman"/>
              </w:rPr>
            </w:pPr>
            <w:r w:rsidRPr="00270549">
              <w:rPr>
                <w:rFonts w:ascii="Times New Roman" w:hAnsi="Times New Roman" w:cs="Times New Roman"/>
                <w:b/>
                <w:bCs/>
              </w:rPr>
              <w:t>4,726</w:t>
            </w:r>
          </w:p>
        </w:tc>
        <w:tc>
          <w:tcPr>
            <w:tcW w:w="2340" w:type="dxa"/>
          </w:tcPr>
          <w:p w:rsidR="002E69BA" w:rsidRPr="00270549" w:rsidP="002E69BA" w14:paraId="3794CD0A" w14:textId="77777777">
            <w:pPr>
              <w:spacing w:after="160" w:line="278" w:lineRule="auto"/>
              <w:rPr>
                <w:rFonts w:ascii="Times New Roman" w:hAnsi="Times New Roman" w:cs="Times New Roman"/>
              </w:rPr>
            </w:pPr>
            <w:r w:rsidRPr="00270549">
              <w:rPr>
                <w:rFonts w:ascii="Times New Roman" w:hAnsi="Times New Roman" w:cs="Times New Roman"/>
                <w:b/>
                <w:bCs/>
              </w:rPr>
              <w:t>5,079</w:t>
            </w:r>
          </w:p>
        </w:tc>
        <w:tc>
          <w:tcPr>
            <w:tcW w:w="2340" w:type="dxa"/>
          </w:tcPr>
          <w:p w:rsidR="002E69BA" w:rsidRPr="00270549" w:rsidP="002E69BA" w14:paraId="628ABB8B" w14:textId="039B067E">
            <w:pPr>
              <w:spacing w:after="160" w:line="278" w:lineRule="auto"/>
              <w:rPr>
                <w:rFonts w:ascii="Times New Roman" w:hAnsi="Times New Roman" w:cs="Times New Roman"/>
              </w:rPr>
            </w:pPr>
            <w:r w:rsidRPr="00270549">
              <w:rPr>
                <w:rFonts w:ascii="Times New Roman" w:hAnsi="Times New Roman" w:cs="Times New Roman"/>
                <w:b/>
                <w:bCs/>
              </w:rPr>
              <w:t xml:space="preserve">4,974 </w:t>
            </w:r>
          </w:p>
        </w:tc>
      </w:tr>
    </w:tbl>
    <w:p w:rsidR="00B134D8" w:rsidRPr="00270549" w:rsidP="00B134D8" w14:paraId="73DDDEA3" w14:textId="77777777">
      <w:pPr>
        <w:rPr>
          <w:rFonts w:ascii="Times New Roman" w:hAnsi="Times New Roman" w:cs="Times New Roman"/>
        </w:rPr>
      </w:pPr>
    </w:p>
    <w:p w:rsidR="00B134D8" w:rsidRPr="00270549" w:rsidP="00B134D8" w14:paraId="7CAC543D" w14:textId="4BED90EE">
      <w:pPr>
        <w:rPr>
          <w:rFonts w:ascii="Times New Roman" w:hAnsi="Times New Roman" w:cs="Times New Roman"/>
          <w:b/>
          <w:bCs/>
        </w:rPr>
      </w:pPr>
      <w:r w:rsidRPr="00270549">
        <w:rPr>
          <w:rFonts w:ascii="Times New Roman" w:hAnsi="Times New Roman" w:cs="Times New Roman"/>
        </w:rPr>
        <w:t>Forecast of total guests for Q1 2026: ~4,974 guests. January and February will hold steady at near 2025 level, while March continues to be weak (about 800). For March, the 95% confidence interval is 600-1,100 guests because of the anomaly in 2025.</w:t>
      </w:r>
    </w:p>
    <w:p w:rsidR="002E69BA" w:rsidRPr="00270549" w:rsidP="003B3BDE" w14:paraId="65BA4370" w14:textId="55CEE176">
      <w:pPr>
        <w:pStyle w:val="ListParagraph"/>
        <w:numPr>
          <w:ilvl w:val="0"/>
          <w:numId w:val="4"/>
        </w:numPr>
        <w:jc w:val="center"/>
        <w:rPr>
          <w:rFonts w:ascii="Times New Roman" w:hAnsi="Times New Roman" w:cs="Times New Roman"/>
          <w:b/>
          <w:bCs/>
        </w:rPr>
      </w:pPr>
      <w:r w:rsidRPr="00270549">
        <w:rPr>
          <w:rFonts w:ascii="Times New Roman" w:hAnsi="Times New Roman" w:cs="Times New Roman"/>
          <w:b/>
          <w:bCs/>
        </w:rPr>
        <w:t>Business Implications and Strategies</w:t>
      </w:r>
    </w:p>
    <w:tbl>
      <w:tblPr>
        <w:tblStyle w:val="TableGrid"/>
        <w:tblW w:w="9360" w:type="dxa"/>
        <w:tblLook w:val="0000"/>
      </w:tblPr>
      <w:tblGrid>
        <w:gridCol w:w="3510"/>
        <w:gridCol w:w="2340"/>
        <w:gridCol w:w="1755"/>
        <w:gridCol w:w="1755"/>
      </w:tblGrid>
      <w:tr w14:paraId="3B6DF72D" w14:textId="77777777" w:rsidTr="002E69BA">
        <w:tblPrEx>
          <w:tblW w:w="9360" w:type="dxa"/>
          <w:tblLook w:val="0000"/>
        </w:tblPrEx>
        <w:tc>
          <w:tcPr>
            <w:tcW w:w="3510" w:type="dxa"/>
          </w:tcPr>
          <w:p w:rsidR="002E69BA" w:rsidRPr="00270549" w:rsidP="002E69BA" w14:paraId="35BA1BB2" w14:textId="77777777">
            <w:pPr>
              <w:spacing w:after="160" w:line="278" w:lineRule="auto"/>
              <w:rPr>
                <w:rFonts w:ascii="Times New Roman" w:hAnsi="Times New Roman" w:cs="Times New Roman"/>
              </w:rPr>
            </w:pPr>
            <w:r w:rsidRPr="00270549">
              <w:rPr>
                <w:rFonts w:ascii="Times New Roman" w:hAnsi="Times New Roman" w:cs="Times New Roman"/>
                <w:b/>
                <w:bCs/>
              </w:rPr>
              <w:t>Segment</w:t>
            </w:r>
          </w:p>
        </w:tc>
        <w:tc>
          <w:tcPr>
            <w:tcW w:w="2340" w:type="dxa"/>
          </w:tcPr>
          <w:p w:rsidR="002E69BA" w:rsidRPr="00270549" w:rsidP="002E69BA" w14:paraId="3FC546BE" w14:textId="0FCA4451">
            <w:pPr>
              <w:spacing w:after="160" w:line="278" w:lineRule="auto"/>
              <w:rPr>
                <w:rFonts w:ascii="Times New Roman" w:hAnsi="Times New Roman" w:cs="Times New Roman"/>
              </w:rPr>
            </w:pPr>
            <w:r w:rsidRPr="00270549">
              <w:rPr>
                <w:rFonts w:ascii="Times New Roman" w:hAnsi="Times New Roman" w:cs="Times New Roman"/>
                <w:b/>
                <w:bCs/>
              </w:rPr>
              <w:t>Guests (</w:t>
            </w:r>
            <w:r w:rsidRPr="00270549">
              <w:rPr>
                <w:rFonts w:ascii="Times New Roman" w:hAnsi="Times New Roman" w:cs="Times New Roman"/>
                <w:b/>
                <w:bCs/>
              </w:rPr>
              <w:t>non-cancelled</w:t>
            </w:r>
            <w:r w:rsidRPr="00270549">
              <w:rPr>
                <w:rFonts w:ascii="Times New Roman" w:hAnsi="Times New Roman" w:cs="Times New Roman"/>
                <w:b/>
                <w:bCs/>
              </w:rPr>
              <w:t>)</w:t>
            </w:r>
          </w:p>
        </w:tc>
        <w:tc>
          <w:tcPr>
            <w:tcW w:w="1755" w:type="dxa"/>
          </w:tcPr>
          <w:p w:rsidR="002E69BA" w:rsidRPr="00270549" w:rsidP="002E69BA" w14:paraId="0E37C104" w14:textId="77777777">
            <w:pPr>
              <w:spacing w:after="160" w:line="278" w:lineRule="auto"/>
              <w:rPr>
                <w:rFonts w:ascii="Times New Roman" w:hAnsi="Times New Roman" w:cs="Times New Roman"/>
              </w:rPr>
            </w:pPr>
            <w:r w:rsidRPr="00270549">
              <w:rPr>
                <w:rFonts w:ascii="Times New Roman" w:hAnsi="Times New Roman" w:cs="Times New Roman"/>
                <w:b/>
                <w:bCs/>
              </w:rPr>
              <w:t>Share (%)</w:t>
            </w:r>
          </w:p>
        </w:tc>
        <w:tc>
          <w:tcPr>
            <w:tcW w:w="1755" w:type="dxa"/>
          </w:tcPr>
          <w:p w:rsidR="002E69BA" w:rsidRPr="00270549" w:rsidP="002E69BA" w14:paraId="0BF46FB4" w14:textId="77777777">
            <w:pPr>
              <w:spacing w:after="160" w:line="278" w:lineRule="auto"/>
              <w:rPr>
                <w:rFonts w:ascii="Times New Roman" w:hAnsi="Times New Roman" w:cs="Times New Roman"/>
              </w:rPr>
            </w:pPr>
            <w:r w:rsidRPr="00270549">
              <w:rPr>
                <w:rFonts w:ascii="Times New Roman" w:hAnsi="Times New Roman" w:cs="Times New Roman"/>
                <w:b/>
                <w:bCs/>
              </w:rPr>
              <w:t>Trend</w:t>
            </w:r>
          </w:p>
        </w:tc>
      </w:tr>
      <w:tr w14:paraId="22A68C62" w14:textId="77777777" w:rsidTr="002E69BA">
        <w:tblPrEx>
          <w:tblW w:w="9360" w:type="dxa"/>
          <w:tblLook w:val="0000"/>
        </w:tblPrEx>
        <w:tc>
          <w:tcPr>
            <w:tcW w:w="3510" w:type="dxa"/>
          </w:tcPr>
          <w:p w:rsidR="002E69BA" w:rsidRPr="00270549" w:rsidP="002E69BA" w14:paraId="04B04853" w14:textId="77777777">
            <w:pPr>
              <w:spacing w:after="160" w:line="278" w:lineRule="auto"/>
              <w:rPr>
                <w:rFonts w:ascii="Times New Roman" w:hAnsi="Times New Roman" w:cs="Times New Roman"/>
              </w:rPr>
            </w:pPr>
            <w:r w:rsidRPr="00270549">
              <w:rPr>
                <w:rFonts w:ascii="Times New Roman" w:hAnsi="Times New Roman" w:cs="Times New Roman"/>
              </w:rPr>
              <w:t>OTA (Online Travel Agency)</w:t>
            </w:r>
          </w:p>
        </w:tc>
        <w:tc>
          <w:tcPr>
            <w:tcW w:w="2340" w:type="dxa"/>
          </w:tcPr>
          <w:p w:rsidR="002E69BA" w:rsidRPr="00270549" w:rsidP="002E69BA" w14:paraId="79D35CDC" w14:textId="77777777">
            <w:pPr>
              <w:spacing w:after="160" w:line="278" w:lineRule="auto"/>
              <w:rPr>
                <w:rFonts w:ascii="Times New Roman" w:hAnsi="Times New Roman" w:cs="Times New Roman"/>
              </w:rPr>
            </w:pPr>
            <w:r w:rsidRPr="00270549">
              <w:rPr>
                <w:rFonts w:ascii="Times New Roman" w:hAnsi="Times New Roman" w:cs="Times New Roman"/>
              </w:rPr>
              <w:t>17,869</w:t>
            </w:r>
          </w:p>
        </w:tc>
        <w:tc>
          <w:tcPr>
            <w:tcW w:w="1755" w:type="dxa"/>
          </w:tcPr>
          <w:p w:rsidR="002E69BA" w:rsidRPr="00270549" w:rsidP="002E69BA" w14:paraId="3C9E536A" w14:textId="77777777">
            <w:pPr>
              <w:spacing w:after="160" w:line="278" w:lineRule="auto"/>
              <w:rPr>
                <w:rFonts w:ascii="Times New Roman" w:hAnsi="Times New Roman" w:cs="Times New Roman"/>
              </w:rPr>
            </w:pPr>
            <w:r w:rsidRPr="00270549">
              <w:rPr>
                <w:rFonts w:ascii="Times New Roman" w:hAnsi="Times New Roman" w:cs="Times New Roman"/>
                <w:b/>
                <w:bCs/>
              </w:rPr>
              <w:t>62.0%</w:t>
            </w:r>
          </w:p>
        </w:tc>
        <w:tc>
          <w:tcPr>
            <w:tcW w:w="1755" w:type="dxa"/>
          </w:tcPr>
          <w:p w:rsidR="002E69BA" w:rsidRPr="00270549" w:rsidP="002E69BA" w14:paraId="20F2EE24" w14:textId="77777777">
            <w:pPr>
              <w:spacing w:after="160" w:line="278" w:lineRule="auto"/>
              <w:rPr>
                <w:rFonts w:ascii="Times New Roman" w:hAnsi="Times New Roman" w:cs="Times New Roman"/>
              </w:rPr>
            </w:pPr>
            <w:r w:rsidRPr="00270549">
              <w:rPr>
                <w:rFonts w:ascii="Times New Roman" w:hAnsi="Times New Roman" w:cs="Times New Roman"/>
              </w:rPr>
              <w:t>↑ Growing</w:t>
            </w:r>
          </w:p>
        </w:tc>
      </w:tr>
      <w:tr w14:paraId="012CA22F" w14:textId="77777777" w:rsidTr="002E69BA">
        <w:tblPrEx>
          <w:tblW w:w="9360" w:type="dxa"/>
          <w:tblLook w:val="0000"/>
        </w:tblPrEx>
        <w:tc>
          <w:tcPr>
            <w:tcW w:w="3510" w:type="dxa"/>
          </w:tcPr>
          <w:p w:rsidR="002E69BA" w:rsidRPr="00270549" w:rsidP="002E69BA" w14:paraId="6A645302" w14:textId="77777777">
            <w:pPr>
              <w:spacing w:after="160" w:line="278" w:lineRule="auto"/>
              <w:rPr>
                <w:rFonts w:ascii="Times New Roman" w:hAnsi="Times New Roman" w:cs="Times New Roman"/>
              </w:rPr>
            </w:pPr>
            <w:r w:rsidRPr="00270549">
              <w:rPr>
                <w:rFonts w:ascii="Times New Roman" w:hAnsi="Times New Roman" w:cs="Times New Roman"/>
              </w:rPr>
              <w:t>Leisure (Direct)</w:t>
            </w:r>
          </w:p>
        </w:tc>
        <w:tc>
          <w:tcPr>
            <w:tcW w:w="2340" w:type="dxa"/>
          </w:tcPr>
          <w:p w:rsidR="002E69BA" w:rsidRPr="00270549" w:rsidP="002E69BA" w14:paraId="25D1518A" w14:textId="77777777">
            <w:pPr>
              <w:spacing w:after="160" w:line="278" w:lineRule="auto"/>
              <w:rPr>
                <w:rFonts w:ascii="Times New Roman" w:hAnsi="Times New Roman" w:cs="Times New Roman"/>
              </w:rPr>
            </w:pPr>
            <w:r w:rsidRPr="00270549">
              <w:rPr>
                <w:rFonts w:ascii="Times New Roman" w:hAnsi="Times New Roman" w:cs="Times New Roman"/>
              </w:rPr>
              <w:t>5,704</w:t>
            </w:r>
          </w:p>
        </w:tc>
        <w:tc>
          <w:tcPr>
            <w:tcW w:w="1755" w:type="dxa"/>
          </w:tcPr>
          <w:p w:rsidR="002E69BA" w:rsidRPr="00270549" w:rsidP="002E69BA" w14:paraId="6A31DE7E" w14:textId="77777777">
            <w:pPr>
              <w:spacing w:after="160" w:line="278" w:lineRule="auto"/>
              <w:rPr>
                <w:rFonts w:ascii="Times New Roman" w:hAnsi="Times New Roman" w:cs="Times New Roman"/>
              </w:rPr>
            </w:pPr>
            <w:r w:rsidRPr="00270549">
              <w:rPr>
                <w:rFonts w:ascii="Times New Roman" w:hAnsi="Times New Roman" w:cs="Times New Roman"/>
              </w:rPr>
              <w:t>19.8%</w:t>
            </w:r>
          </w:p>
        </w:tc>
        <w:tc>
          <w:tcPr>
            <w:tcW w:w="1755" w:type="dxa"/>
          </w:tcPr>
          <w:p w:rsidR="002E69BA" w:rsidRPr="00270549" w:rsidP="002E69BA" w14:paraId="16316CEE" w14:textId="77777777">
            <w:pPr>
              <w:spacing w:after="160" w:line="278" w:lineRule="auto"/>
              <w:rPr>
                <w:rFonts w:ascii="Times New Roman" w:hAnsi="Times New Roman" w:cs="Times New Roman"/>
              </w:rPr>
            </w:pPr>
            <w:r w:rsidRPr="00270549">
              <w:rPr>
                <w:rFonts w:ascii="Times New Roman" w:hAnsi="Times New Roman" w:cs="Times New Roman"/>
              </w:rPr>
              <w:t>→ Stable</w:t>
            </w:r>
          </w:p>
        </w:tc>
      </w:tr>
      <w:tr w14:paraId="00FBF629" w14:textId="77777777" w:rsidTr="002E69BA">
        <w:tblPrEx>
          <w:tblW w:w="9360" w:type="dxa"/>
          <w:tblLook w:val="0000"/>
        </w:tblPrEx>
        <w:tc>
          <w:tcPr>
            <w:tcW w:w="3510" w:type="dxa"/>
          </w:tcPr>
          <w:p w:rsidR="002E69BA" w:rsidRPr="00270549" w:rsidP="002E69BA" w14:paraId="28568FA3" w14:textId="77777777">
            <w:pPr>
              <w:spacing w:after="160" w:line="278" w:lineRule="auto"/>
              <w:rPr>
                <w:rFonts w:ascii="Times New Roman" w:hAnsi="Times New Roman" w:cs="Times New Roman"/>
              </w:rPr>
            </w:pPr>
            <w:r w:rsidRPr="00270549">
              <w:rPr>
                <w:rFonts w:ascii="Times New Roman" w:hAnsi="Times New Roman" w:cs="Times New Roman"/>
              </w:rPr>
              <w:t>Group Bookings</w:t>
            </w:r>
          </w:p>
        </w:tc>
        <w:tc>
          <w:tcPr>
            <w:tcW w:w="2340" w:type="dxa"/>
          </w:tcPr>
          <w:p w:rsidR="002E69BA" w:rsidRPr="00270549" w:rsidP="002E69BA" w14:paraId="1BD11A4A" w14:textId="77777777">
            <w:pPr>
              <w:spacing w:after="160" w:line="278" w:lineRule="auto"/>
              <w:rPr>
                <w:rFonts w:ascii="Times New Roman" w:hAnsi="Times New Roman" w:cs="Times New Roman"/>
              </w:rPr>
            </w:pPr>
            <w:r w:rsidRPr="00270549">
              <w:rPr>
                <w:rFonts w:ascii="Times New Roman" w:hAnsi="Times New Roman" w:cs="Times New Roman"/>
              </w:rPr>
              <w:t>3,269</w:t>
            </w:r>
          </w:p>
        </w:tc>
        <w:tc>
          <w:tcPr>
            <w:tcW w:w="1755" w:type="dxa"/>
          </w:tcPr>
          <w:p w:rsidR="002E69BA" w:rsidRPr="00270549" w:rsidP="002E69BA" w14:paraId="3FEA3F18" w14:textId="77777777">
            <w:pPr>
              <w:spacing w:after="160" w:line="278" w:lineRule="auto"/>
              <w:rPr>
                <w:rFonts w:ascii="Times New Roman" w:hAnsi="Times New Roman" w:cs="Times New Roman"/>
              </w:rPr>
            </w:pPr>
            <w:r w:rsidRPr="00270549">
              <w:rPr>
                <w:rFonts w:ascii="Times New Roman" w:hAnsi="Times New Roman" w:cs="Times New Roman"/>
              </w:rPr>
              <w:t>11.3%</w:t>
            </w:r>
          </w:p>
        </w:tc>
        <w:tc>
          <w:tcPr>
            <w:tcW w:w="1755" w:type="dxa"/>
          </w:tcPr>
          <w:p w:rsidR="002E69BA" w:rsidRPr="00270549" w:rsidP="002E69BA" w14:paraId="18835260" w14:textId="77777777">
            <w:pPr>
              <w:spacing w:after="160" w:line="278" w:lineRule="auto"/>
              <w:rPr>
                <w:rFonts w:ascii="Times New Roman" w:hAnsi="Times New Roman" w:cs="Times New Roman"/>
              </w:rPr>
            </w:pPr>
            <w:r w:rsidRPr="00270549">
              <w:rPr>
                <w:rFonts w:ascii="Times New Roman" w:hAnsi="Times New Roman" w:cs="Times New Roman"/>
              </w:rPr>
              <w:t>→ Stable</w:t>
            </w:r>
          </w:p>
        </w:tc>
      </w:tr>
      <w:tr w14:paraId="4ACC175F" w14:textId="77777777" w:rsidTr="002E69BA">
        <w:tblPrEx>
          <w:tblW w:w="9360" w:type="dxa"/>
          <w:tblLook w:val="0000"/>
        </w:tblPrEx>
        <w:tc>
          <w:tcPr>
            <w:tcW w:w="3510" w:type="dxa"/>
          </w:tcPr>
          <w:p w:rsidR="002E69BA" w:rsidRPr="00270549" w:rsidP="002E69BA" w14:paraId="5D1F28BB" w14:textId="77777777">
            <w:pPr>
              <w:spacing w:after="160" w:line="278" w:lineRule="auto"/>
              <w:rPr>
                <w:rFonts w:ascii="Times New Roman" w:hAnsi="Times New Roman" w:cs="Times New Roman"/>
              </w:rPr>
            </w:pPr>
            <w:r w:rsidRPr="00270549">
              <w:rPr>
                <w:rFonts w:ascii="Times New Roman" w:hAnsi="Times New Roman" w:cs="Times New Roman"/>
              </w:rPr>
              <w:t>Corporate</w:t>
            </w:r>
          </w:p>
        </w:tc>
        <w:tc>
          <w:tcPr>
            <w:tcW w:w="2340" w:type="dxa"/>
          </w:tcPr>
          <w:p w:rsidR="002E69BA" w:rsidRPr="00270549" w:rsidP="002E69BA" w14:paraId="0F6A83BA" w14:textId="77777777">
            <w:pPr>
              <w:spacing w:after="160" w:line="278" w:lineRule="auto"/>
              <w:rPr>
                <w:rFonts w:ascii="Times New Roman" w:hAnsi="Times New Roman" w:cs="Times New Roman"/>
              </w:rPr>
            </w:pPr>
            <w:r w:rsidRPr="00270549">
              <w:rPr>
                <w:rFonts w:ascii="Times New Roman" w:hAnsi="Times New Roman" w:cs="Times New Roman"/>
              </w:rPr>
              <w:t>1,987</w:t>
            </w:r>
          </w:p>
        </w:tc>
        <w:tc>
          <w:tcPr>
            <w:tcW w:w="1755" w:type="dxa"/>
          </w:tcPr>
          <w:p w:rsidR="002E69BA" w:rsidRPr="00270549" w:rsidP="002E69BA" w14:paraId="044C23D5" w14:textId="77777777">
            <w:pPr>
              <w:spacing w:after="160" w:line="278" w:lineRule="auto"/>
              <w:rPr>
                <w:rFonts w:ascii="Times New Roman" w:hAnsi="Times New Roman" w:cs="Times New Roman"/>
              </w:rPr>
            </w:pPr>
            <w:r w:rsidRPr="00270549">
              <w:rPr>
                <w:rFonts w:ascii="Times New Roman" w:hAnsi="Times New Roman" w:cs="Times New Roman"/>
              </w:rPr>
              <w:t>6.9%</w:t>
            </w:r>
          </w:p>
        </w:tc>
        <w:tc>
          <w:tcPr>
            <w:tcW w:w="1755" w:type="dxa"/>
          </w:tcPr>
          <w:p w:rsidR="002E69BA" w:rsidRPr="00270549" w:rsidP="002E69BA" w14:paraId="78074AC3" w14:textId="77777777">
            <w:pPr>
              <w:spacing w:after="160" w:line="278" w:lineRule="auto"/>
              <w:rPr>
                <w:rFonts w:ascii="Times New Roman" w:hAnsi="Times New Roman" w:cs="Times New Roman"/>
              </w:rPr>
            </w:pPr>
            <w:r w:rsidRPr="00270549">
              <w:rPr>
                <w:rFonts w:ascii="Times New Roman" w:hAnsi="Times New Roman" w:cs="Times New Roman"/>
              </w:rPr>
              <w:t>↑ Recovery</w:t>
            </w:r>
          </w:p>
        </w:tc>
      </w:tr>
    </w:tbl>
    <w:p w:rsidR="002E69BA" w:rsidRPr="00270549" w:rsidP="002E69BA" w14:paraId="12A96D28" w14:textId="77777777">
      <w:pPr>
        <w:rPr>
          <w:rFonts w:ascii="Times New Roman" w:hAnsi="Times New Roman" w:cs="Times New Roman"/>
        </w:rPr>
      </w:pPr>
    </w:p>
    <w:p w:rsidR="002E69BA" w:rsidRPr="00270549" w:rsidP="00270549" w14:paraId="08CD629D" w14:textId="5D213F0B">
      <w:pPr>
        <w:ind w:firstLine="0"/>
        <w:rPr>
          <w:rFonts w:ascii="Times New Roman" w:hAnsi="Times New Roman" w:cs="Times New Roman"/>
          <w:b/>
          <w:bCs/>
        </w:rPr>
      </w:pPr>
      <w:r w:rsidRPr="00270549">
        <w:rPr>
          <w:rFonts w:ascii="Times New Roman" w:hAnsi="Times New Roman" w:cs="Times New Roman"/>
          <w:b/>
          <w:bCs/>
        </w:rPr>
        <w:t>Staffing</w:t>
      </w:r>
    </w:p>
    <w:p w:rsidR="00933038" w:rsidRPr="00270549" w:rsidP="002E69BA" w14:paraId="443E6284" w14:textId="52BD3E6F">
      <w:pPr>
        <w:rPr>
          <w:rFonts w:ascii="Times New Roman" w:hAnsi="Times New Roman" w:cs="Times New Roman"/>
        </w:rPr>
      </w:pPr>
      <w:r w:rsidRPr="00270549">
        <w:rPr>
          <w:rFonts w:ascii="Times New Roman" w:hAnsi="Times New Roman" w:cs="Times New Roman"/>
        </w:rPr>
        <w:t xml:space="preserve">With the staffing figure of close to 4,974 for the first quarter, staffing can be kept lean and operate at 30%-40% of the peak. Main teams in January/February, less staff in March. </w:t>
      </w:r>
      <w:r w:rsidRPr="00270549">
        <w:rPr>
          <w:rFonts w:ascii="Times New Roman" w:hAnsi="Times New Roman" w:cs="Times New Roman"/>
        </w:rPr>
        <w:t>Hotelogix</w:t>
      </w:r>
      <w:r w:rsidRPr="00270549">
        <w:rPr>
          <w:rFonts w:ascii="Times New Roman" w:hAnsi="Times New Roman" w:cs="Times New Roman"/>
        </w:rPr>
        <w:t xml:space="preserve"> </w:t>
      </w:r>
      <w:r w:rsidRPr="00270549">
        <w:rPr>
          <w:rFonts w:ascii="Times New Roman" w:hAnsi="Times New Roman" w:cs="Times New Roman"/>
        </w:rPr>
        <w:t xml:space="preserve">(2024) </w:t>
      </w:r>
      <w:r w:rsidRPr="00270549">
        <w:rPr>
          <w:rFonts w:ascii="Times New Roman" w:hAnsi="Times New Roman" w:cs="Times New Roman"/>
        </w:rPr>
        <w:t xml:space="preserve">suggests hotels adopt flexible rosters based on </w:t>
      </w:r>
      <w:r w:rsidRPr="00270549">
        <w:rPr>
          <w:rFonts w:ascii="Times New Roman" w:hAnsi="Times New Roman" w:cs="Times New Roman"/>
        </w:rPr>
        <w:t>a 90 days</w:t>
      </w:r>
      <w:r w:rsidRPr="00270549">
        <w:rPr>
          <w:rFonts w:ascii="Times New Roman" w:hAnsi="Times New Roman" w:cs="Times New Roman"/>
        </w:rPr>
        <w:t xml:space="preserve"> booking schedule.</w:t>
      </w:r>
    </w:p>
    <w:p w:rsidR="00933038" w:rsidRPr="00270549" w:rsidP="00270549" w14:paraId="0A056194" w14:textId="77777777">
      <w:pPr>
        <w:ind w:firstLine="0"/>
        <w:rPr>
          <w:rFonts w:ascii="Times New Roman" w:hAnsi="Times New Roman" w:cs="Times New Roman"/>
          <w:b/>
          <w:bCs/>
        </w:rPr>
      </w:pPr>
      <w:r w:rsidRPr="00270549">
        <w:rPr>
          <w:rFonts w:ascii="Times New Roman" w:hAnsi="Times New Roman" w:cs="Times New Roman"/>
          <w:b/>
          <w:bCs/>
        </w:rPr>
        <w:t>Marketing</w:t>
      </w:r>
    </w:p>
    <w:p w:rsidR="00933038" w:rsidRPr="00270549" w:rsidP="002E69BA" w14:paraId="44CB842A" w14:textId="7D93B2A3">
      <w:pPr>
        <w:rPr>
          <w:rFonts w:ascii="Times New Roman" w:hAnsi="Times New Roman" w:cs="Times New Roman"/>
        </w:rPr>
      </w:pPr>
      <w:r w:rsidRPr="00270549">
        <w:rPr>
          <w:rFonts w:ascii="Times New Roman" w:hAnsi="Times New Roman" w:cs="Times New Roman"/>
        </w:rPr>
        <w:t xml:space="preserve">Spending on marketing should increase in Nov-Dec. Early bookings for Q1. Promotions with non-refundable prices have targeted the 25.07% cancellation segment. The 3.67 point of rating gap with the industry benchmark of 4.0 </w:t>
      </w:r>
      <w:r w:rsidRPr="00270549">
        <w:rPr>
          <w:rFonts w:ascii="Times New Roman" w:hAnsi="Times New Roman" w:cs="Times New Roman"/>
        </w:rPr>
        <w:t xml:space="preserve">and </w:t>
      </w:r>
      <w:r w:rsidRPr="00270549">
        <w:rPr>
          <w:rFonts w:ascii="Times New Roman" w:hAnsi="Times New Roman" w:cs="Times New Roman"/>
        </w:rPr>
        <w:t xml:space="preserve">above led to the dependence on OTA to go down &amp; IP played a role in direct conversions. </w:t>
      </w:r>
    </w:p>
    <w:p w:rsidR="00933038" w:rsidRPr="00270549" w:rsidP="00270549" w14:paraId="785B2013" w14:textId="65693BBA">
      <w:pPr>
        <w:ind w:firstLine="0"/>
        <w:rPr>
          <w:rFonts w:ascii="Times New Roman" w:hAnsi="Times New Roman" w:cs="Times New Roman"/>
          <w:b/>
          <w:bCs/>
        </w:rPr>
      </w:pPr>
      <w:r w:rsidRPr="00270549">
        <w:rPr>
          <w:rFonts w:ascii="Times New Roman" w:hAnsi="Times New Roman" w:cs="Times New Roman"/>
          <w:b/>
          <w:bCs/>
        </w:rPr>
        <w:t>Capacity Planning</w:t>
      </w:r>
    </w:p>
    <w:p w:rsidR="00933038" w:rsidRPr="00270549" w14:paraId="2BE8B0D6" w14:textId="3EC52BD9">
      <w:pPr>
        <w:rPr>
          <w:rFonts w:ascii="Times New Roman" w:hAnsi="Times New Roman" w:cs="Times New Roman"/>
        </w:rPr>
      </w:pPr>
      <w:r w:rsidRPr="00270549">
        <w:rPr>
          <w:rFonts w:ascii="Times New Roman" w:hAnsi="Times New Roman" w:cs="Times New Roman"/>
        </w:rPr>
        <w:t>Capacity planning between June-July and Nov-Dec requires 3,000 - 4,300 guests per month to have 60-80 per cent higher capacity than Quarter 1. The 62% OTA domination calls for efforts for direct bookings. The worldwide OTA market in 2024 was estimated to be worth USD $253.2 billion, growing at 7.9% CAGR (GMI, 2025). Recruitment of temporary labor should start 8-10 weeks prior to the peak season.</w:t>
      </w:r>
    </w:p>
    <w:p w:rsidR="002E69BA" w:rsidRPr="00270549" w14:paraId="322B360C" w14:textId="23B95174">
      <w:pPr>
        <w:rPr>
          <w:rFonts w:ascii="Times New Roman" w:hAnsi="Times New Roman" w:cs="Times New Roman"/>
        </w:rPr>
      </w:pPr>
      <w:r w:rsidRPr="00270549">
        <w:rPr>
          <w:rFonts w:ascii="Times New Roman" w:hAnsi="Times New Roman" w:cs="Times New Roman"/>
        </w:rPr>
        <w:br w:type="page"/>
      </w:r>
    </w:p>
    <w:p w:rsidR="002E69BA" w:rsidRPr="00270549" w:rsidP="00270549" w14:paraId="4C7E338A" w14:textId="173D23D9">
      <w:pPr>
        <w:spacing w:after="0" w:line="480" w:lineRule="auto"/>
        <w:ind w:left="720" w:hanging="720"/>
        <w:jc w:val="center"/>
        <w:rPr>
          <w:rFonts w:ascii="Times New Roman" w:hAnsi="Times New Roman" w:cs="Times New Roman"/>
          <w:b/>
          <w:bCs/>
        </w:rPr>
      </w:pPr>
      <w:r w:rsidRPr="00270549">
        <w:rPr>
          <w:rFonts w:ascii="Times New Roman" w:hAnsi="Times New Roman" w:cs="Times New Roman"/>
          <w:b/>
          <w:bCs/>
        </w:rPr>
        <w:t xml:space="preserve">References </w:t>
      </w:r>
    </w:p>
    <w:p w:rsidR="00270549" w:rsidRPr="00270549" w:rsidP="00270549" w14:paraId="74DF921E" w14:textId="77777777">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Ampountolas</w:t>
      </w:r>
      <w:r w:rsidRPr="00270549">
        <w:rPr>
          <w:rFonts w:ascii="Times New Roman" w:eastAsia="Arial" w:hAnsi="Times New Roman" w:cs="Times New Roman"/>
          <w:kern w:val="0"/>
          <w14:ligatures w14:val="none"/>
        </w:rPr>
        <w:t>, A. (2021). Modeling and Forecasting Daily Hotel Demand: A Comparison Based on SARIMAX, Neural Networks, and GARCH Models. Forecasting, MDPI, 3(3), 1–16.</w:t>
      </w:r>
    </w:p>
    <w:p w:rsidR="00270549" w:rsidRPr="00270549" w:rsidP="00270549" w14:paraId="3FF57E50" w14:textId="29CA6030">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Cloudbeds</w:t>
      </w:r>
      <w:r w:rsidRPr="00270549">
        <w:rPr>
          <w:rFonts w:ascii="Times New Roman" w:eastAsia="Arial" w:hAnsi="Times New Roman" w:cs="Times New Roman"/>
          <w:kern w:val="0"/>
          <w14:ligatures w14:val="none"/>
        </w:rPr>
        <w:t xml:space="preserve"> (2025). Top Trends Influencing the OTA Industry in 2025. </w:t>
      </w:r>
      <w:hyperlink r:id="rId4" w:history="1">
        <w:r w:rsidRPr="00270549">
          <w:rPr>
            <w:rStyle w:val="Hyperlink"/>
            <w:rFonts w:ascii="Times New Roman" w:eastAsia="Arial" w:hAnsi="Times New Roman" w:cs="Times New Roman"/>
            <w:kern w:val="0"/>
            <w14:ligatures w14:val="none"/>
          </w:rPr>
          <w:t>https://www.cloudbeds.com/online-travel-agencies/trends/</w:t>
        </w:r>
      </w:hyperlink>
    </w:p>
    <w:p w:rsidR="00270549" w:rsidRPr="00270549" w:rsidP="00270549" w14:paraId="47FB8ED1" w14:textId="77777777">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 xml:space="preserve">Global Market Insights (GMI) (2025). Online Travel Agency Market Size and Share 2025–2034. </w:t>
      </w:r>
      <w:hyperlink r:id="rId5" w:history="1">
        <w:r w:rsidRPr="00270549">
          <w:rPr>
            <w:rFonts w:ascii="Times New Roman" w:eastAsia="Arial" w:hAnsi="Times New Roman" w:cs="Times New Roman"/>
            <w:color w:val="0563C1"/>
            <w:kern w:val="0"/>
            <w:u w:val="single"/>
            <w14:ligatures w14:val="none"/>
          </w:rPr>
          <w:t>https://www.gminsights.com/industry-analysis/online-travel-agency-market</w:t>
        </w:r>
      </w:hyperlink>
    </w:p>
    <w:p w:rsidR="00270549" w:rsidRPr="00270549" w:rsidP="00270549" w14:paraId="18A2B3E8" w14:textId="33DFB314">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Hotelogix</w:t>
      </w:r>
      <w:r w:rsidRPr="00270549">
        <w:rPr>
          <w:rFonts w:ascii="Times New Roman" w:eastAsia="Arial" w:hAnsi="Times New Roman" w:cs="Times New Roman"/>
          <w:kern w:val="0"/>
          <w14:ligatures w14:val="none"/>
        </w:rPr>
        <w:t xml:space="preserve"> (2024). Hotel Forecasting Guide 2024. Hotel News Resource. </w:t>
      </w:r>
      <w:hyperlink r:id="rId6" w:history="1">
        <w:r w:rsidRPr="00270549">
          <w:rPr>
            <w:rStyle w:val="Hyperlink"/>
            <w:rFonts w:ascii="Times New Roman" w:eastAsia="Arial" w:hAnsi="Times New Roman" w:cs="Times New Roman"/>
            <w:kern w:val="0"/>
            <w14:ligatures w14:val="none"/>
          </w:rPr>
          <w:t>https://www.hotelnewsresource.com/article133296.html</w:t>
        </w:r>
      </w:hyperlink>
    </w:p>
    <w:p w:rsidR="00270549" w:rsidRPr="00270549" w:rsidP="00270549" w14:paraId="34DC85CD" w14:textId="415CA386">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 xml:space="preserve">Lighthouse (2026). Is your hotel demand forecast stuck in the past? </w:t>
      </w:r>
      <w:hyperlink r:id="rId7" w:history="1">
        <w:r w:rsidRPr="00270549">
          <w:rPr>
            <w:rStyle w:val="Hyperlink"/>
            <w:rFonts w:ascii="Times New Roman" w:eastAsia="Arial" w:hAnsi="Times New Roman" w:cs="Times New Roman"/>
            <w:kern w:val="0"/>
            <w14:ligatures w14:val="none"/>
          </w:rPr>
          <w:t>https://www.mylighthouse.com/resources/blog/hotel-demand-forecast</w:t>
        </w:r>
      </w:hyperlink>
    </w:p>
    <w:p w:rsidR="00270549" w:rsidRPr="00270549" w:rsidP="00270549" w14:paraId="0B05DDFF" w14:textId="77777777">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 xml:space="preserve">NetSuite (2025). The Ultimate Guide to Seasonality in the Hotel Industry. </w:t>
      </w:r>
      <w:hyperlink r:id="rId8" w:history="1">
        <w:r w:rsidRPr="00270549">
          <w:rPr>
            <w:rFonts w:ascii="Times New Roman" w:eastAsia="Arial" w:hAnsi="Times New Roman" w:cs="Times New Roman"/>
            <w:color w:val="0563C1"/>
            <w:kern w:val="0"/>
            <w:u w:val="single"/>
            <w14:ligatures w14:val="none"/>
          </w:rPr>
          <w:t>https://www.netsuite.com/portal/resource/articles/financial-management/seasonality-hotel-industry.shtml</w:t>
        </w:r>
      </w:hyperlink>
    </w:p>
    <w:p w:rsidR="00270549" w:rsidRPr="00270549" w:rsidP="00270549" w14:paraId="7B222EEA" w14:textId="32DC4810">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 xml:space="preserve">Northwestern MSIA (2024). Predicting Hotel Demand using Time Series Methods. </w:t>
      </w:r>
      <w:hyperlink r:id="rId9" w:history="1">
        <w:r w:rsidRPr="00270549">
          <w:rPr>
            <w:rStyle w:val="Hyperlink"/>
            <w:rFonts w:ascii="Times New Roman" w:eastAsia="Arial" w:hAnsi="Times New Roman" w:cs="Times New Roman"/>
            <w:kern w:val="0"/>
            <w14:ligatures w14:val="none"/>
          </w:rPr>
          <w:t>https://sites.northwestern.edu/msia/2024/02/27/predicting-hotel-demand</w:t>
        </w:r>
      </w:hyperlink>
    </w:p>
    <w:p w:rsidR="00270549" w:rsidRPr="00270549" w:rsidP="00270549" w14:paraId="696EB872" w14:textId="5E8AC9CF">
      <w:pPr>
        <w:spacing w:after="0" w:line="480" w:lineRule="auto"/>
        <w:ind w:left="720" w:hanging="720"/>
        <w:rPr>
          <w:rFonts w:ascii="Times New Roman" w:eastAsia="Arial" w:hAnsi="Times New Roman" w:cs="Times New Roman"/>
          <w:kern w:val="0"/>
          <w14:ligatures w14:val="none"/>
        </w:rPr>
      </w:pPr>
      <w:r w:rsidRPr="00270549">
        <w:rPr>
          <w:rFonts w:ascii="Times New Roman" w:eastAsia="Arial" w:hAnsi="Times New Roman" w:cs="Times New Roman"/>
          <w:kern w:val="0"/>
          <w14:ligatures w14:val="none"/>
        </w:rPr>
        <w:t>Pereira, L.N. and Cerqueira, V. (2022). Forecasting hotel demand for revenue management using machine learning regression methods. Current Issues in Tourism, 25(17), 2733–2750.</w:t>
      </w:r>
      <w:r w:rsidRPr="00270549">
        <w:rPr>
          <w:rFonts w:ascii="Times New Roman" w:hAnsi="Times New Roman" w:cs="Times New Roman"/>
        </w:rPr>
        <w:t xml:space="preserve"> </w:t>
      </w:r>
      <w:hyperlink r:id="rId10" w:history="1">
        <w:r w:rsidRPr="00270549">
          <w:rPr>
            <w:rStyle w:val="Hyperlink"/>
            <w:rFonts w:ascii="Times New Roman" w:eastAsia="Arial" w:hAnsi="Times New Roman" w:cs="Times New Roman"/>
            <w:kern w:val="0"/>
            <w14:ligatures w14:val="none"/>
          </w:rPr>
          <w:t>https://doi.org/10.1080/13683500.2021.1999397</w:t>
        </w:r>
      </w:hyperlink>
    </w:p>
    <w:p w:rsidR="00270549" w:rsidRPr="00270549" w:rsidP="00270549" w14:paraId="57A6EDEA" w14:textId="44DEEB0C">
      <w:pPr>
        <w:spacing w:after="0" w:line="480" w:lineRule="auto"/>
        <w:ind w:left="720" w:hanging="720"/>
        <w:rPr>
          <w:rFonts w:ascii="Times New Roman" w:eastAsia="Arial" w:hAnsi="Times New Roman" w:cs="Times New Roman"/>
          <w:i/>
          <w:iCs/>
          <w:kern w:val="0"/>
          <w14:ligatures w14:val="none"/>
        </w:rPr>
      </w:pPr>
      <w:r w:rsidRPr="00270549">
        <w:rPr>
          <w:rFonts w:ascii="Times New Roman" w:eastAsia="Arial" w:hAnsi="Times New Roman" w:cs="Times New Roman"/>
          <w:kern w:val="0"/>
          <w14:ligatures w14:val="none"/>
        </w:rPr>
        <w:t>RoomPriceGenie</w:t>
      </w:r>
      <w:r w:rsidRPr="00270549">
        <w:rPr>
          <w:rFonts w:ascii="Times New Roman" w:eastAsia="Arial" w:hAnsi="Times New Roman" w:cs="Times New Roman"/>
          <w:kern w:val="0"/>
          <w14:ligatures w14:val="none"/>
        </w:rPr>
        <w:t xml:space="preserve"> (2026). Complete Guide to</w:t>
      </w:r>
      <w:r w:rsidRPr="00270549">
        <w:rPr>
          <w:rFonts w:ascii="Times New Roman" w:eastAsia="Arial" w:hAnsi="Times New Roman" w:cs="Times New Roman"/>
          <w:i/>
          <w:iCs/>
          <w:kern w:val="0"/>
          <w14:ligatures w14:val="none"/>
        </w:rPr>
        <w:t xml:space="preserve"> Hotel Demand Forecasting. </w:t>
      </w:r>
      <w:hyperlink r:id="rId11" w:history="1">
        <w:r w:rsidRPr="00270549">
          <w:rPr>
            <w:rStyle w:val="Hyperlink"/>
            <w:rFonts w:ascii="Times New Roman" w:eastAsia="Arial" w:hAnsi="Times New Roman" w:cs="Times New Roman"/>
            <w:i/>
            <w:iCs/>
            <w:kern w:val="0"/>
            <w14:ligatures w14:val="none"/>
          </w:rPr>
          <w:t>https://roompricegenie.com/complete-guide-to-hotel-demand-forecasting/</w:t>
        </w:r>
      </w:hyperlink>
    </w:p>
    <w:p w:rsidR="00270549" w:rsidRPr="00270549" w:rsidP="00270549" w14:paraId="608ACDCB" w14:textId="77777777">
      <w:pPr>
        <w:spacing w:after="0" w:line="480" w:lineRule="auto"/>
        <w:ind w:left="720" w:hanging="720"/>
        <w:rPr>
          <w:rFonts w:ascii="Times New Roman" w:eastAsia="Arial" w:hAnsi="Times New Roman" w:cs="Times New Roman"/>
          <w:kern w:val="0"/>
          <w14:ligatures w14:val="none"/>
        </w:rPr>
      </w:pPr>
    </w:p>
    <w:p w:rsidR="00270549" w:rsidRPr="00270549" w:rsidP="00270549" w14:paraId="3699301E" w14:textId="77777777">
      <w:pPr>
        <w:ind w:firstLine="0"/>
        <w:rPr>
          <w:rFonts w:ascii="Times New Roman" w:hAnsi="Times New Roman" w:cs="Times New Roman"/>
        </w:rPr>
      </w:pPr>
    </w:p>
    <w:sectPr>
      <w:head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583086"/>
      <w:docPartObj>
        <w:docPartGallery w:val="Page Numbers (Top of Page)"/>
        <w:docPartUnique/>
      </w:docPartObj>
    </w:sdtPr>
    <w:sdtEndPr>
      <w:rPr>
        <w:noProof/>
      </w:rPr>
    </w:sdtEndPr>
    <w:sdtContent>
      <w:p w:rsidR="002E69BA" w14:paraId="588DFA30" w14:textId="4E84CA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E69BA" w14:paraId="79F589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A3CD1"/>
    <w:multiLevelType w:val="hybridMultilevel"/>
    <w:tmpl w:val="DD5CC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137E4E"/>
    <w:multiLevelType w:val="hybridMultilevel"/>
    <w:tmpl w:val="B4ACD802"/>
    <w:lvl w:ilvl="0">
      <w:start w:val="1"/>
      <w:numFmt w:val="bullet"/>
      <w:lvlText w:val="•"/>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5F864E1"/>
    <w:multiLevelType w:val="hybridMultilevel"/>
    <w:tmpl w:val="4CD037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DF138B1"/>
    <w:multiLevelType w:val="hybridMultilevel"/>
    <w:tmpl w:val="1F184D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DB0A21"/>
    <w:multiLevelType w:val="hybridMultilevel"/>
    <w:tmpl w:val="96C0AA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4977816">
    <w:abstractNumId w:val="1"/>
    <w:lvlOverride w:ilvl="0">
      <w:startOverride w:val="1"/>
    </w:lvlOverride>
  </w:num>
  <w:num w:numId="2" w16cid:durableId="1856534524">
    <w:abstractNumId w:val="4"/>
  </w:num>
  <w:num w:numId="3" w16cid:durableId="1032266559">
    <w:abstractNumId w:val="3"/>
  </w:num>
  <w:num w:numId="4" w16cid:durableId="1865746379">
    <w:abstractNumId w:val="2"/>
  </w:num>
  <w:num w:numId="5" w16cid:durableId="108927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BA"/>
    <w:rsid w:val="001D7CE6"/>
    <w:rsid w:val="00270549"/>
    <w:rsid w:val="002E69BA"/>
    <w:rsid w:val="003B3BDE"/>
    <w:rsid w:val="003F79A7"/>
    <w:rsid w:val="00933038"/>
    <w:rsid w:val="00B134D8"/>
    <w:rsid w:val="00C812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BD62FC"/>
  <w15:chartTrackingRefBased/>
  <w15:docId w15:val="{774AA6BA-8A6A-423E-AA78-C0695684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9BA"/>
  </w:style>
  <w:style w:type="paragraph" w:styleId="Heading1">
    <w:name w:val="heading 1"/>
    <w:basedOn w:val="Normal"/>
    <w:next w:val="Normal"/>
    <w:link w:val="Heading1Char"/>
    <w:uiPriority w:val="9"/>
    <w:qFormat/>
    <w:rsid w:val="002E6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BA"/>
    <w:rPr>
      <w:rFonts w:eastAsiaTheme="majorEastAsia" w:cstheme="majorBidi"/>
      <w:color w:val="272727" w:themeColor="text1" w:themeTint="D8"/>
    </w:rPr>
  </w:style>
  <w:style w:type="paragraph" w:styleId="Title">
    <w:name w:val="Title"/>
    <w:basedOn w:val="Normal"/>
    <w:next w:val="Normal"/>
    <w:link w:val="TitleChar"/>
    <w:uiPriority w:val="10"/>
    <w:qFormat/>
    <w:rsid w:val="002E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BA"/>
    <w:pPr>
      <w:spacing w:before="160"/>
      <w:jc w:val="center"/>
    </w:pPr>
    <w:rPr>
      <w:i/>
      <w:iCs/>
      <w:color w:val="404040" w:themeColor="text1" w:themeTint="BF"/>
    </w:rPr>
  </w:style>
  <w:style w:type="character" w:customStyle="1" w:styleId="QuoteChar">
    <w:name w:val="Quote Char"/>
    <w:basedOn w:val="DefaultParagraphFont"/>
    <w:link w:val="Quote"/>
    <w:uiPriority w:val="29"/>
    <w:rsid w:val="002E69BA"/>
    <w:rPr>
      <w:i/>
      <w:iCs/>
      <w:color w:val="404040" w:themeColor="text1" w:themeTint="BF"/>
    </w:rPr>
  </w:style>
  <w:style w:type="paragraph" w:styleId="ListParagraph">
    <w:name w:val="List Paragraph"/>
    <w:basedOn w:val="Normal"/>
    <w:uiPriority w:val="34"/>
    <w:qFormat/>
    <w:rsid w:val="002E69BA"/>
    <w:pPr>
      <w:ind w:left="720"/>
      <w:contextualSpacing/>
    </w:pPr>
  </w:style>
  <w:style w:type="character" w:styleId="IntenseEmphasis">
    <w:name w:val="Intense Emphasis"/>
    <w:basedOn w:val="DefaultParagraphFont"/>
    <w:uiPriority w:val="21"/>
    <w:qFormat/>
    <w:rsid w:val="002E69BA"/>
    <w:rPr>
      <w:i/>
      <w:iCs/>
      <w:color w:val="2F5496" w:themeColor="accent1" w:themeShade="BF"/>
    </w:rPr>
  </w:style>
  <w:style w:type="paragraph" w:styleId="IntenseQuote">
    <w:name w:val="Intense Quote"/>
    <w:basedOn w:val="Normal"/>
    <w:next w:val="Normal"/>
    <w:link w:val="IntenseQuoteChar"/>
    <w:uiPriority w:val="30"/>
    <w:qFormat/>
    <w:rsid w:val="002E6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BA"/>
    <w:rPr>
      <w:i/>
      <w:iCs/>
      <w:color w:val="2F5496" w:themeColor="accent1" w:themeShade="BF"/>
    </w:rPr>
  </w:style>
  <w:style w:type="character" w:styleId="IntenseReference">
    <w:name w:val="Intense Reference"/>
    <w:basedOn w:val="DefaultParagraphFont"/>
    <w:uiPriority w:val="32"/>
    <w:qFormat/>
    <w:rsid w:val="002E69BA"/>
    <w:rPr>
      <w:b/>
      <w:bCs/>
      <w:smallCaps/>
      <w:color w:val="2F5496" w:themeColor="accent1" w:themeShade="BF"/>
      <w:spacing w:val="5"/>
    </w:rPr>
  </w:style>
  <w:style w:type="paragraph" w:styleId="Header">
    <w:name w:val="header"/>
    <w:basedOn w:val="Normal"/>
    <w:link w:val="HeaderChar"/>
    <w:uiPriority w:val="99"/>
    <w:unhideWhenUsed/>
    <w:rsid w:val="002E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9BA"/>
  </w:style>
  <w:style w:type="paragraph" w:styleId="Footer">
    <w:name w:val="footer"/>
    <w:basedOn w:val="Normal"/>
    <w:link w:val="FooterChar"/>
    <w:uiPriority w:val="99"/>
    <w:unhideWhenUsed/>
    <w:rsid w:val="002E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9BA"/>
  </w:style>
  <w:style w:type="table" w:styleId="TableGrid">
    <w:name w:val="Table Grid"/>
    <w:basedOn w:val="TableNormal"/>
    <w:uiPriority w:val="39"/>
    <w:rsid w:val="002E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549"/>
    <w:rPr>
      <w:color w:val="0563C1" w:themeColor="hyperlink"/>
      <w:u w:val="single"/>
    </w:rPr>
  </w:style>
  <w:style w:type="character" w:styleId="UnresolvedMention">
    <w:name w:val="Unresolved Mention"/>
    <w:basedOn w:val="DefaultParagraphFont"/>
    <w:uiPriority w:val="99"/>
    <w:semiHidden/>
    <w:unhideWhenUsed/>
    <w:rsid w:val="0027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80/13683500.2021.1999397" TargetMode="External" /><Relationship Id="rId11" Type="http://schemas.openxmlformats.org/officeDocument/2006/relationships/hyperlink" Target="https://roompricegenie.com/complete-guide-to-hotel-demand-forecasting/"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loudbeds.com/online-travel-agencies/trends/" TargetMode="External" /><Relationship Id="rId5" Type="http://schemas.openxmlformats.org/officeDocument/2006/relationships/hyperlink" Target="https://www.gminsights.com/industry-analysis/online-travel-agency-market" TargetMode="External" /><Relationship Id="rId6" Type="http://schemas.openxmlformats.org/officeDocument/2006/relationships/hyperlink" Target="https://www.hotelnewsresource.com/article133296.html" TargetMode="External" /><Relationship Id="rId7" Type="http://schemas.openxmlformats.org/officeDocument/2006/relationships/hyperlink" Target="https://www.mylighthouse.com/resources/blog/hotel-demand-forecast" TargetMode="External" /><Relationship Id="rId8" Type="http://schemas.openxmlformats.org/officeDocument/2006/relationships/hyperlink" Target="https://www.netsuite.com/portal/resource/articles/financial-management/seasonality-hotel-industry.shtml" TargetMode="External" /><Relationship Id="rId9" Type="http://schemas.openxmlformats.org/officeDocument/2006/relationships/hyperlink" Target="https://sites.northwestern.edu/msia/2024/02/27/predicting-hotel-dem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Ciemoh</dc:creator>
  <cp:lastModifiedBy>Ciemoh</cp:lastModifiedBy>
  <cp:revision>1</cp:revision>
  <dcterms:created xsi:type="dcterms:W3CDTF">2026-05-17T02:28:00Z</dcterms:created>
  <dcterms:modified xsi:type="dcterms:W3CDTF">2026-05-17T03:30:00Z</dcterms:modified>
</cp:coreProperties>
</file>